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Look w:val="04A0" w:firstRow="1" w:lastRow="0" w:firstColumn="1" w:lastColumn="0" w:noHBand="0" w:noVBand="1"/>
      </w:tblPr>
      <w:tblGrid>
        <w:gridCol w:w="2438"/>
        <w:gridCol w:w="6406"/>
      </w:tblGrid>
      <w:tr w:rsidRPr="00B87ABE" w:rsidR="00CE544A" w:rsidTr="62B73EE3" w14:paraId="04473DCA" w14:textId="77777777">
        <w:tc>
          <w:tcPr>
            <w:tcW w:w="2438" w:type="dxa"/>
            <w:shd w:val="clear" w:color="auto" w:fill="auto"/>
          </w:tcPr>
          <w:p w:rsidRPr="00B87ABE" w:rsidR="00F445B1" w:rsidP="004A6D2F" w:rsidRDefault="00F445B1" w14:paraId="334BE3F6" w14:textId="77777777">
            <w:pPr>
              <w:rPr>
                <w:rStyle w:val="Firstpagetablebold"/>
              </w:rPr>
            </w:pPr>
            <w:r w:rsidRPr="00B87ABE">
              <w:rPr>
                <w:rStyle w:val="Firstpagetablebold"/>
              </w:rPr>
              <w:t>To</w:t>
            </w:r>
            <w:r w:rsidRPr="00B87ABE" w:rsidR="005C35A5">
              <w:rPr>
                <w:rStyle w:val="Firstpagetablebold"/>
              </w:rPr>
              <w:t>:</w:t>
            </w:r>
          </w:p>
        </w:tc>
        <w:tc>
          <w:tcPr>
            <w:tcW w:w="6406" w:type="dxa"/>
            <w:shd w:val="clear" w:color="auto" w:fill="auto"/>
          </w:tcPr>
          <w:p w:rsidRPr="00B87ABE" w:rsidR="00F445B1" w:rsidP="004A6D2F" w:rsidRDefault="00DB7AD7" w14:paraId="017518DB" w14:textId="5DD134CD">
            <w:pPr>
              <w:rPr>
                <w:rStyle w:val="Firstpagetablebold"/>
              </w:rPr>
            </w:pPr>
            <w:r w:rsidRPr="00B87ABE">
              <w:rPr>
                <w:rStyle w:val="Firstpagetablebold"/>
              </w:rPr>
              <w:t>Cabinet</w:t>
            </w:r>
            <w:r w:rsidRPr="00B87ABE" w:rsidR="00025250">
              <w:rPr>
                <w:rStyle w:val="Firstpagetablebold"/>
              </w:rPr>
              <w:t xml:space="preserve"> </w:t>
            </w:r>
          </w:p>
        </w:tc>
      </w:tr>
      <w:tr w:rsidRPr="00B87ABE" w:rsidR="00CE544A" w:rsidTr="62B73EE3" w14:paraId="705FA4FB" w14:textId="77777777">
        <w:tc>
          <w:tcPr>
            <w:tcW w:w="2438" w:type="dxa"/>
            <w:shd w:val="clear" w:color="auto" w:fill="auto"/>
          </w:tcPr>
          <w:p w:rsidRPr="00B87ABE" w:rsidR="00F445B1" w:rsidP="004A6D2F" w:rsidRDefault="00F445B1" w14:paraId="3C1A12A6" w14:textId="77777777">
            <w:pPr>
              <w:rPr>
                <w:rStyle w:val="Firstpagetablebold"/>
              </w:rPr>
            </w:pPr>
            <w:r w:rsidRPr="00B87ABE">
              <w:rPr>
                <w:rStyle w:val="Firstpagetablebold"/>
              </w:rPr>
              <w:t>Dat</w:t>
            </w:r>
            <w:r w:rsidRPr="00B87ABE" w:rsidR="005C35A5">
              <w:rPr>
                <w:rStyle w:val="Firstpagetablebold"/>
              </w:rPr>
              <w:t>e:</w:t>
            </w:r>
          </w:p>
        </w:tc>
        <w:tc>
          <w:tcPr>
            <w:tcW w:w="6406" w:type="dxa"/>
            <w:shd w:val="clear" w:color="auto" w:fill="auto"/>
          </w:tcPr>
          <w:p w:rsidRPr="00B87ABE" w:rsidR="00F445B1" w:rsidP="62B73EE3" w:rsidRDefault="008C7D84" w14:paraId="4F4A4C58" w14:textId="6B36DF2D">
            <w:pPr>
              <w:rPr>
                <w:b/>
                <w:bCs/>
                <w:color w:val="auto"/>
              </w:rPr>
            </w:pPr>
            <w:r w:rsidRPr="00B87ABE">
              <w:rPr>
                <w:rStyle w:val="Firstpagetablebold"/>
                <w:rFonts w:cs="Arial"/>
                <w:b w:val="0"/>
                <w:color w:val="auto"/>
              </w:rPr>
              <w:t>18</w:t>
            </w:r>
            <w:r w:rsidRPr="00B87ABE">
              <w:rPr>
                <w:rStyle w:val="Firstpagetablebold"/>
                <w:rFonts w:cs="Arial"/>
                <w:b w:val="0"/>
                <w:color w:val="auto"/>
                <w:vertAlign w:val="superscript"/>
              </w:rPr>
              <w:t>th</w:t>
            </w:r>
            <w:r w:rsidRPr="00B87ABE">
              <w:rPr>
                <w:rStyle w:val="Firstpagetablebold"/>
                <w:rFonts w:cs="Arial"/>
                <w:b w:val="0"/>
                <w:color w:val="auto"/>
              </w:rPr>
              <w:t xml:space="preserve"> June 2025</w:t>
            </w:r>
          </w:p>
        </w:tc>
      </w:tr>
      <w:tr w:rsidRPr="00B87ABE" w:rsidR="00CE544A" w:rsidTr="62B73EE3" w14:paraId="7AED9E48" w14:textId="77777777">
        <w:tc>
          <w:tcPr>
            <w:tcW w:w="2438" w:type="dxa"/>
            <w:shd w:val="clear" w:color="auto" w:fill="auto"/>
          </w:tcPr>
          <w:p w:rsidRPr="00B87ABE" w:rsidR="00F445B1" w:rsidP="004A6D2F" w:rsidRDefault="00F445B1" w14:paraId="2049294C" w14:textId="77777777">
            <w:pPr>
              <w:rPr>
                <w:rStyle w:val="Firstpagetablebold"/>
              </w:rPr>
            </w:pPr>
            <w:r w:rsidRPr="00B87ABE">
              <w:rPr>
                <w:rStyle w:val="Firstpagetablebold"/>
              </w:rPr>
              <w:t>Report of</w:t>
            </w:r>
            <w:r w:rsidRPr="00B87ABE" w:rsidR="005C35A5">
              <w:rPr>
                <w:rStyle w:val="Firstpagetablebold"/>
              </w:rPr>
              <w:t>:</w:t>
            </w:r>
          </w:p>
        </w:tc>
        <w:tc>
          <w:tcPr>
            <w:tcW w:w="6406" w:type="dxa"/>
            <w:shd w:val="clear" w:color="auto" w:fill="auto"/>
          </w:tcPr>
          <w:p w:rsidRPr="00B87ABE" w:rsidR="00F445B1" w:rsidP="004A6D2F" w:rsidRDefault="008C7D84" w14:paraId="31C202AE" w14:textId="06143F06">
            <w:pPr>
              <w:rPr>
                <w:rStyle w:val="Firstpagetablebold"/>
                <w:color w:val="auto"/>
              </w:rPr>
            </w:pPr>
            <w:r w:rsidRPr="00B87ABE">
              <w:rPr>
                <w:rStyle w:val="Firstpagetablebold"/>
                <w:rFonts w:cs="Arial"/>
                <w:b w:val="0"/>
                <w:color w:val="auto"/>
              </w:rPr>
              <w:t>Director Property &amp; Assets</w:t>
            </w:r>
          </w:p>
        </w:tc>
      </w:tr>
      <w:tr w:rsidRPr="00B87ABE" w:rsidR="00CE544A" w:rsidTr="62B73EE3" w14:paraId="312CDF01" w14:textId="77777777">
        <w:tc>
          <w:tcPr>
            <w:tcW w:w="2438" w:type="dxa"/>
            <w:shd w:val="clear" w:color="auto" w:fill="auto"/>
          </w:tcPr>
          <w:p w:rsidRPr="00B87ABE" w:rsidR="00F445B1" w:rsidP="004A6D2F" w:rsidRDefault="00F445B1" w14:paraId="08DE1E88" w14:textId="77777777">
            <w:pPr>
              <w:rPr>
                <w:rStyle w:val="Firstpagetablebold"/>
              </w:rPr>
            </w:pPr>
            <w:r w:rsidRPr="00B87ABE">
              <w:rPr>
                <w:rStyle w:val="Firstpagetablebold"/>
              </w:rPr>
              <w:t xml:space="preserve">Title of Report: </w:t>
            </w:r>
          </w:p>
        </w:tc>
        <w:tc>
          <w:tcPr>
            <w:tcW w:w="6406" w:type="dxa"/>
            <w:shd w:val="clear" w:color="auto" w:fill="auto"/>
          </w:tcPr>
          <w:p w:rsidRPr="00B87ABE" w:rsidR="00F445B1" w:rsidP="004A6D2F" w:rsidRDefault="008C7D84" w14:paraId="4C45E9F3" w14:textId="4696A654">
            <w:pPr>
              <w:rPr>
                <w:rStyle w:val="Firstpagetablebold"/>
                <w:color w:val="auto"/>
              </w:rPr>
            </w:pPr>
            <w:r w:rsidRPr="00B87ABE">
              <w:rPr>
                <w:rStyle w:val="Firstpagetablebold"/>
                <w:rFonts w:cs="Arial"/>
                <w:b w:val="0"/>
                <w:color w:val="auto"/>
              </w:rPr>
              <w:t>Long Leasehold disposal of City Centre Commercial Property – 9, 10, 16a &amp; 16b Ship Street and 10 St Michaels St, Oxford</w:t>
            </w:r>
          </w:p>
        </w:tc>
      </w:tr>
    </w:tbl>
    <w:p w:rsidRPr="00B87ABE" w:rsidR="004F20EF" w:rsidP="004A6D2F" w:rsidRDefault="004F20EF" w14:paraId="2173E708" w14:textId="77777777"/>
    <w:tbl>
      <w:tblPr>
        <w:tblW w:w="0" w:type="auto"/>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4A0" w:firstRow="1" w:lastRow="0" w:firstColumn="1" w:lastColumn="0" w:noHBand="0" w:noVBand="1"/>
      </w:tblPr>
      <w:tblGrid>
        <w:gridCol w:w="2576"/>
        <w:gridCol w:w="6594"/>
      </w:tblGrid>
      <w:tr w:rsidRPr="00B87ABE" w:rsidR="00D5547E" w:rsidTr="00BC4288" w14:paraId="30A8EDD0" w14:textId="77777777">
        <w:tc>
          <w:tcPr>
            <w:tcW w:w="9170" w:type="dxa"/>
            <w:gridSpan w:val="2"/>
            <w:tcBorders>
              <w:bottom w:val="single" w:color="000000" w:sz="8" w:space="0"/>
            </w:tcBorders>
            <w:hideMark/>
          </w:tcPr>
          <w:p w:rsidRPr="00B87ABE" w:rsidR="00D5547E" w:rsidP="00745BF0" w:rsidRDefault="00745BF0" w14:paraId="7672E430" w14:textId="77777777">
            <w:pPr>
              <w:jc w:val="center"/>
              <w:rPr>
                <w:rStyle w:val="Firstpagetablebold"/>
              </w:rPr>
            </w:pPr>
            <w:r w:rsidRPr="00B87ABE">
              <w:rPr>
                <w:rStyle w:val="Firstpagetablebold"/>
              </w:rPr>
              <w:t>Summary and r</w:t>
            </w:r>
            <w:r w:rsidRPr="00B87ABE" w:rsidR="00D5547E">
              <w:rPr>
                <w:rStyle w:val="Firstpagetablebold"/>
              </w:rPr>
              <w:t>ecommendations</w:t>
            </w:r>
          </w:p>
        </w:tc>
      </w:tr>
      <w:tr w:rsidRPr="00B87ABE" w:rsidR="00D5547E" w:rsidTr="00BC4288" w14:paraId="01894138" w14:textId="77777777">
        <w:tc>
          <w:tcPr>
            <w:tcW w:w="2576" w:type="dxa"/>
            <w:tcBorders>
              <w:top w:val="single" w:color="000000" w:sz="8" w:space="0"/>
              <w:left w:val="single" w:color="000000" w:sz="8" w:space="0"/>
              <w:bottom w:val="nil"/>
              <w:right w:val="nil"/>
            </w:tcBorders>
            <w:hideMark/>
          </w:tcPr>
          <w:p w:rsidRPr="00B87ABE" w:rsidR="00D5547E" w:rsidRDefault="00025250" w14:paraId="5BB81F73" w14:textId="120319E8">
            <w:pPr>
              <w:rPr>
                <w:rStyle w:val="Firstpagetablebold"/>
              </w:rPr>
            </w:pPr>
            <w:r w:rsidRPr="00B87ABE">
              <w:rPr>
                <w:rStyle w:val="Firstpagetablebold"/>
              </w:rPr>
              <w:t>Decision being taken</w:t>
            </w:r>
            <w:r w:rsidRPr="00B87ABE" w:rsidR="00D5547E">
              <w:rPr>
                <w:rStyle w:val="Firstpagetablebold"/>
              </w:rPr>
              <w:t>:</w:t>
            </w:r>
          </w:p>
        </w:tc>
        <w:tc>
          <w:tcPr>
            <w:tcW w:w="6594" w:type="dxa"/>
            <w:tcBorders>
              <w:top w:val="single" w:color="000000" w:sz="8" w:space="0"/>
              <w:left w:val="nil"/>
              <w:bottom w:val="nil"/>
              <w:right w:val="single" w:color="000000" w:sz="8" w:space="0"/>
            </w:tcBorders>
            <w:hideMark/>
          </w:tcPr>
          <w:p w:rsidRPr="00B87ABE" w:rsidR="00D5547E" w:rsidP="00DB7AD7" w:rsidRDefault="00BC4288" w14:paraId="419B6548" w14:textId="1E07F2A8">
            <w:pPr>
              <w:rPr>
                <w:color w:val="auto"/>
              </w:rPr>
            </w:pPr>
            <w:r w:rsidRPr="00B87ABE">
              <w:rPr>
                <w:color w:val="auto"/>
              </w:rPr>
              <w:t>T</w:t>
            </w:r>
            <w:r w:rsidRPr="00B87ABE">
              <w:t>o seek approval for the long leasehold disposal of 9, 10, 16a &amp; 16b Ship Street and 10 St Michaels, properties owned by the City Council</w:t>
            </w:r>
          </w:p>
        </w:tc>
      </w:tr>
      <w:tr w:rsidRPr="00B87ABE" w:rsidR="00025250" w:rsidTr="00BC4288" w14:paraId="43BD728D" w14:textId="77777777">
        <w:tc>
          <w:tcPr>
            <w:tcW w:w="2576" w:type="dxa"/>
            <w:tcBorders>
              <w:top w:val="nil"/>
              <w:left w:val="single" w:color="000000" w:sz="8" w:space="0"/>
              <w:bottom w:val="nil"/>
              <w:right w:val="nil"/>
            </w:tcBorders>
            <w:hideMark/>
          </w:tcPr>
          <w:p w:rsidRPr="00B87ABE" w:rsidR="00025250" w:rsidP="00025250" w:rsidRDefault="00025250" w14:paraId="0997AE74" w14:textId="77777777">
            <w:pPr>
              <w:rPr>
                <w:rStyle w:val="Firstpagetablebold"/>
              </w:rPr>
            </w:pPr>
            <w:r w:rsidRPr="00B87ABE">
              <w:rPr>
                <w:rStyle w:val="Firstpagetablebold"/>
              </w:rPr>
              <w:t>Key decision:</w:t>
            </w:r>
          </w:p>
        </w:tc>
        <w:tc>
          <w:tcPr>
            <w:tcW w:w="6594" w:type="dxa"/>
            <w:tcBorders>
              <w:top w:val="nil"/>
              <w:left w:val="nil"/>
              <w:bottom w:val="nil"/>
              <w:right w:val="single" w:color="000000" w:sz="8" w:space="0"/>
            </w:tcBorders>
            <w:hideMark/>
          </w:tcPr>
          <w:p w:rsidRPr="00B87ABE" w:rsidR="00BC4288" w:rsidP="00025250" w:rsidRDefault="00BC4288" w14:paraId="0B9EEFE7" w14:textId="77777777">
            <w:pPr>
              <w:rPr>
                <w:rFonts w:cs="Arial"/>
                <w:color w:val="auto"/>
              </w:rPr>
            </w:pPr>
            <w:r w:rsidRPr="00B87ABE">
              <w:rPr>
                <w:rFonts w:cs="Arial"/>
                <w:color w:val="auto"/>
              </w:rPr>
              <w:t>Yes</w:t>
            </w:r>
          </w:p>
          <w:p w:rsidRPr="00B87ABE" w:rsidR="00025250" w:rsidP="00025250" w:rsidRDefault="00BC4288" w14:paraId="1B0C58F5" w14:textId="1F8892E7">
            <w:pPr>
              <w:rPr>
                <w:color w:val="auto"/>
              </w:rPr>
            </w:pPr>
            <w:r w:rsidRPr="00B87ABE">
              <w:rPr>
                <w:rFonts w:cs="Arial"/>
                <w:color w:val="auto"/>
              </w:rPr>
              <w:t>https://mycouncil.oxford.gov.uk/mgIssueHistoryHome.aspx?IId=39655&amp;PlanId=523&amp;RPID=35215257</w:t>
            </w:r>
            <w:r w:rsidRPr="00B87ABE" w:rsidR="00025250">
              <w:rPr>
                <w:rFonts w:cs="Arial"/>
                <w:color w:val="auto"/>
              </w:rPr>
              <w:t xml:space="preserve"> </w:t>
            </w:r>
          </w:p>
        </w:tc>
      </w:tr>
      <w:tr w:rsidRPr="00B87ABE" w:rsidR="00025250" w:rsidTr="00BC4288" w14:paraId="10A3E36F" w14:textId="77777777">
        <w:tc>
          <w:tcPr>
            <w:tcW w:w="2576" w:type="dxa"/>
            <w:tcBorders>
              <w:top w:val="nil"/>
              <w:left w:val="single" w:color="000000" w:sz="8" w:space="0"/>
              <w:bottom w:val="nil"/>
              <w:right w:val="nil"/>
            </w:tcBorders>
            <w:hideMark/>
          </w:tcPr>
          <w:p w:rsidRPr="00B87ABE" w:rsidR="00025250" w:rsidP="00025250" w:rsidRDefault="00025250" w14:paraId="55E06E9D" w14:textId="77777777">
            <w:pPr>
              <w:rPr>
                <w:rStyle w:val="Firstpagetablebold"/>
              </w:rPr>
            </w:pPr>
            <w:r w:rsidRPr="00B87ABE">
              <w:rPr>
                <w:rStyle w:val="Firstpagetablebold"/>
              </w:rPr>
              <w:t>Cabinet Member:</w:t>
            </w:r>
          </w:p>
        </w:tc>
        <w:tc>
          <w:tcPr>
            <w:tcW w:w="6594" w:type="dxa"/>
            <w:tcBorders>
              <w:top w:val="nil"/>
              <w:left w:val="nil"/>
              <w:bottom w:val="nil"/>
              <w:right w:val="single" w:color="000000" w:sz="8" w:space="0"/>
            </w:tcBorders>
            <w:hideMark/>
          </w:tcPr>
          <w:p w:rsidRPr="00B87ABE" w:rsidR="00025250" w:rsidP="00025250" w:rsidRDefault="00025250" w14:paraId="1E006809" w14:textId="6628A6A4">
            <w:pPr>
              <w:rPr>
                <w:color w:val="auto"/>
              </w:rPr>
            </w:pPr>
            <w:r w:rsidRPr="00B87ABE">
              <w:rPr>
                <w:color w:val="auto"/>
              </w:rPr>
              <w:t xml:space="preserve">Councillor </w:t>
            </w:r>
            <w:r w:rsidRPr="00B87ABE" w:rsidR="00BC4288">
              <w:rPr>
                <w:color w:val="auto"/>
              </w:rPr>
              <w:t>Ed Turner, Deputy Leader and Cabinet Member for Finance &amp; Asset Management</w:t>
            </w:r>
          </w:p>
        </w:tc>
      </w:tr>
      <w:tr w:rsidRPr="00B87ABE" w:rsidR="00025250" w:rsidTr="00BC4288" w14:paraId="7B700325" w14:textId="77777777">
        <w:tc>
          <w:tcPr>
            <w:tcW w:w="2576" w:type="dxa"/>
            <w:tcBorders>
              <w:top w:val="nil"/>
              <w:left w:val="single" w:color="000000" w:sz="8" w:space="0"/>
              <w:bottom w:val="nil"/>
              <w:right w:val="nil"/>
            </w:tcBorders>
          </w:tcPr>
          <w:p w:rsidRPr="00B87ABE" w:rsidR="00025250" w:rsidP="00025250" w:rsidRDefault="00025250" w14:paraId="7A58DBB5" w14:textId="77777777">
            <w:pPr>
              <w:rPr>
                <w:rStyle w:val="Firstpagetablebold"/>
              </w:rPr>
            </w:pPr>
            <w:r w:rsidRPr="00B87ABE">
              <w:rPr>
                <w:rStyle w:val="Firstpagetablebold"/>
              </w:rPr>
              <w:t>Corporate Priority:</w:t>
            </w:r>
          </w:p>
        </w:tc>
        <w:tc>
          <w:tcPr>
            <w:tcW w:w="6594" w:type="dxa"/>
            <w:tcBorders>
              <w:top w:val="nil"/>
              <w:left w:val="nil"/>
              <w:bottom w:val="nil"/>
              <w:right w:val="single" w:color="000000" w:sz="8" w:space="0"/>
            </w:tcBorders>
          </w:tcPr>
          <w:p w:rsidRPr="00B87ABE" w:rsidR="00025250" w:rsidP="00025250" w:rsidRDefault="00BC4288" w14:paraId="3DF1AC69" w14:textId="10E7903C">
            <w:pPr>
              <w:rPr>
                <w:color w:val="auto"/>
              </w:rPr>
            </w:pPr>
            <w:r w:rsidRPr="00B87ABE">
              <w:rPr>
                <w:color w:val="auto"/>
              </w:rPr>
              <w:t xml:space="preserve">Well Run Council </w:t>
            </w:r>
          </w:p>
        </w:tc>
      </w:tr>
      <w:tr w:rsidRPr="00B87ABE" w:rsidR="00025250" w:rsidTr="00BC4288" w14:paraId="63186D5F" w14:textId="77777777">
        <w:tc>
          <w:tcPr>
            <w:tcW w:w="2576" w:type="dxa"/>
            <w:tcBorders>
              <w:top w:val="nil"/>
              <w:left w:val="single" w:color="000000" w:sz="8" w:space="0"/>
              <w:bottom w:val="single" w:color="auto" w:sz="4" w:space="0"/>
              <w:right w:val="nil"/>
            </w:tcBorders>
            <w:hideMark/>
          </w:tcPr>
          <w:p w:rsidRPr="00B87ABE" w:rsidR="00025250" w:rsidP="00025250" w:rsidRDefault="00025250" w14:paraId="13359BD4" w14:textId="77777777">
            <w:pPr>
              <w:rPr>
                <w:rStyle w:val="Firstpagetablebold"/>
              </w:rPr>
            </w:pPr>
            <w:r w:rsidRPr="00B87ABE">
              <w:rPr>
                <w:rStyle w:val="Firstpagetablebold"/>
              </w:rPr>
              <w:t>Policy Framework:</w:t>
            </w:r>
          </w:p>
        </w:tc>
        <w:tc>
          <w:tcPr>
            <w:tcW w:w="6594" w:type="dxa"/>
            <w:tcBorders>
              <w:top w:val="nil"/>
              <w:left w:val="nil"/>
              <w:bottom w:val="single" w:color="auto" w:sz="4" w:space="0"/>
              <w:right w:val="single" w:color="000000" w:sz="8" w:space="0"/>
            </w:tcBorders>
            <w:hideMark/>
          </w:tcPr>
          <w:p w:rsidRPr="00B87ABE" w:rsidR="00025250" w:rsidP="00025250" w:rsidRDefault="00BC4288" w14:paraId="0AA7D163" w14:textId="1D35B0FB">
            <w:pPr>
              <w:rPr>
                <w:color w:val="auto"/>
              </w:rPr>
            </w:pPr>
            <w:r w:rsidRPr="00B87ABE">
              <w:rPr>
                <w:color w:val="auto"/>
              </w:rPr>
              <w:t>Medium Term Financial Plan</w:t>
            </w:r>
          </w:p>
        </w:tc>
      </w:tr>
    </w:tbl>
    <w:p w:rsidRPr="00B87ABE" w:rsidR="00CE544A" w:rsidP="004A6D2F" w:rsidRDefault="00CE544A" w14:paraId="3B28CE5F" w14:textId="77777777"/>
    <w:tbl>
      <w:tblPr>
        <w:tblW w:w="9231" w:type="dxa"/>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4A0" w:firstRow="1" w:lastRow="0" w:firstColumn="1" w:lastColumn="0" w:noHBand="0" w:noVBand="1"/>
      </w:tblPr>
      <w:tblGrid>
        <w:gridCol w:w="443"/>
        <w:gridCol w:w="8788"/>
      </w:tblGrid>
      <w:tr w:rsidRPr="00B87ABE" w:rsidR="00025250" w:rsidTr="008B30BD" w14:paraId="75BF65A5" w14:textId="77777777">
        <w:trPr>
          <w:trHeight w:val="331"/>
        </w:trPr>
        <w:tc>
          <w:tcPr>
            <w:tcW w:w="9231" w:type="dxa"/>
            <w:gridSpan w:val="2"/>
            <w:tcBorders>
              <w:bottom w:val="single" w:color="000000" w:themeColor="text1" w:sz="8" w:space="0"/>
            </w:tcBorders>
          </w:tcPr>
          <w:p w:rsidRPr="00B87ABE" w:rsidR="00025250" w:rsidP="00FD0B08" w:rsidRDefault="00025250" w14:paraId="18FB24CC" w14:textId="140E9700">
            <w:r w:rsidRPr="00B87ABE">
              <w:rPr>
                <w:rStyle w:val="Firstpagetablebold"/>
              </w:rPr>
              <w:t>Recommendation(s):</w:t>
            </w:r>
            <w:r w:rsidRPr="00B87ABE" w:rsidR="571C62E4">
              <w:rPr>
                <w:rStyle w:val="Firstpagetablebold"/>
              </w:rPr>
              <w:t xml:space="preserve"> </w:t>
            </w:r>
            <w:r w:rsidRPr="00B87ABE">
              <w:rPr>
                <w:rStyle w:val="Firstpagetablebold"/>
                <w:b w:val="0"/>
              </w:rPr>
              <w:t>That Cabinet resolves to:</w:t>
            </w:r>
          </w:p>
        </w:tc>
      </w:tr>
      <w:tr w:rsidRPr="00B87ABE" w:rsidR="00025250" w:rsidTr="008B30BD" w14:paraId="128A7C0D" w14:textId="77777777">
        <w:trPr>
          <w:trHeight w:val="226"/>
        </w:trPr>
        <w:tc>
          <w:tcPr>
            <w:tcW w:w="443" w:type="dxa"/>
            <w:tcBorders>
              <w:top w:val="single" w:color="000000" w:themeColor="text1" w:sz="8" w:space="0"/>
              <w:left w:val="single" w:color="000000" w:themeColor="text1" w:sz="8" w:space="0"/>
              <w:bottom w:val="nil"/>
              <w:right w:val="nil"/>
            </w:tcBorders>
          </w:tcPr>
          <w:p w:rsidRPr="00B87ABE" w:rsidR="00025250" w:rsidP="00FD0B08" w:rsidRDefault="00025250" w14:paraId="4AAB6C58" w14:textId="77777777">
            <w:r w:rsidRPr="00B87ABE">
              <w:t>1.</w:t>
            </w:r>
          </w:p>
        </w:tc>
        <w:tc>
          <w:tcPr>
            <w:tcW w:w="8788" w:type="dxa"/>
            <w:tcBorders>
              <w:top w:val="single" w:color="000000" w:themeColor="text1" w:sz="8" w:space="0"/>
              <w:left w:val="nil"/>
              <w:bottom w:val="nil"/>
              <w:right w:val="single" w:color="000000" w:themeColor="text1" w:sz="8" w:space="0"/>
            </w:tcBorders>
            <w:shd w:val="clear" w:color="auto" w:fill="auto"/>
          </w:tcPr>
          <w:p w:rsidRPr="00B87ABE" w:rsidR="00025250" w:rsidP="00FD0B08" w:rsidRDefault="00BC4288" w14:paraId="2D683A1F" w14:textId="7EA1204D">
            <w:r w:rsidRPr="00B87ABE">
              <w:rPr>
                <w:rStyle w:val="Firstpagetablebold"/>
              </w:rPr>
              <w:t xml:space="preserve">Approve </w:t>
            </w:r>
            <w:r w:rsidRPr="00B87ABE">
              <w:rPr>
                <w:rStyle w:val="Firstpagetablebold"/>
                <w:b w:val="0"/>
                <w:bCs/>
              </w:rPr>
              <w:t>the long leasehold disposal of</w:t>
            </w:r>
            <w:r w:rsidRPr="00B87ABE" w:rsidR="00D80449">
              <w:t xml:space="preserve"> 9, 10, 16a &amp; 16b Ship Street and 10 St Michaels</w:t>
            </w:r>
            <w:r w:rsidRPr="00B87ABE" w:rsidDel="00D80449" w:rsidR="00D80449">
              <w:rPr>
                <w:rStyle w:val="Firstpagetablebold"/>
                <w:b w:val="0"/>
                <w:bCs/>
              </w:rPr>
              <w:t xml:space="preserve"> </w:t>
            </w:r>
            <w:r w:rsidRPr="00B87ABE">
              <w:rPr>
                <w:rStyle w:val="Firstpagetablebold"/>
                <w:b w:val="0"/>
                <w:bCs/>
              </w:rPr>
              <w:t>these properties as set out in the report.</w:t>
            </w:r>
            <w:r w:rsidRPr="00B87ABE" w:rsidR="00025250">
              <w:t xml:space="preserve"> </w:t>
            </w:r>
          </w:p>
        </w:tc>
      </w:tr>
      <w:tr w:rsidRPr="00B87ABE" w:rsidR="00025250" w:rsidTr="008B30BD" w14:paraId="25E85822" w14:textId="77777777">
        <w:trPr>
          <w:trHeight w:val="226"/>
        </w:trPr>
        <w:tc>
          <w:tcPr>
            <w:tcW w:w="443" w:type="dxa"/>
            <w:tcBorders>
              <w:top w:val="nil"/>
              <w:left w:val="single" w:color="000000" w:themeColor="text1" w:sz="8" w:space="0"/>
              <w:bottom w:val="single" w:color="auto" w:sz="4" w:space="0"/>
              <w:right w:val="nil"/>
            </w:tcBorders>
          </w:tcPr>
          <w:p w:rsidRPr="00B87ABE" w:rsidR="00025250" w:rsidP="00FD0B08" w:rsidRDefault="00025250" w14:paraId="65C5A875" w14:textId="77777777">
            <w:r w:rsidRPr="00B87ABE">
              <w:t>2.</w:t>
            </w:r>
          </w:p>
        </w:tc>
        <w:tc>
          <w:tcPr>
            <w:tcW w:w="8788" w:type="dxa"/>
            <w:tcBorders>
              <w:top w:val="nil"/>
              <w:left w:val="nil"/>
              <w:bottom w:val="single" w:color="auto" w:sz="4" w:space="0"/>
              <w:right w:val="single" w:color="000000" w:themeColor="text1" w:sz="8" w:space="0"/>
            </w:tcBorders>
            <w:shd w:val="clear" w:color="auto" w:fill="auto"/>
          </w:tcPr>
          <w:p w:rsidRPr="00B87ABE" w:rsidR="00025250" w:rsidP="00FD0B08" w:rsidRDefault="00BC4288" w14:paraId="6ADC7102" w14:textId="06612B61">
            <w:pPr>
              <w:rPr>
                <w:bCs/>
              </w:rPr>
            </w:pPr>
            <w:r w:rsidRPr="00B87ABE">
              <w:rPr>
                <w:rStyle w:val="Firstpagetablebold"/>
              </w:rPr>
              <w:t xml:space="preserve">Delegate </w:t>
            </w:r>
            <w:r w:rsidRPr="00B87ABE">
              <w:rPr>
                <w:rStyle w:val="Firstpagetablebold"/>
                <w:b w:val="0"/>
                <w:bCs/>
              </w:rPr>
              <w:t xml:space="preserve">authority to the </w:t>
            </w:r>
            <w:r w:rsidRPr="00B87ABE" w:rsidR="00AA718A">
              <w:rPr>
                <w:rStyle w:val="Firstpagetablebold"/>
                <w:b w:val="0"/>
                <w:bCs/>
              </w:rPr>
              <w:t>Director Property &amp; Assets</w:t>
            </w:r>
            <w:r w:rsidRPr="00B87ABE">
              <w:rPr>
                <w:rStyle w:val="Firstpagetablebold"/>
                <w:b w:val="0"/>
                <w:bCs/>
              </w:rPr>
              <w:t xml:space="preserve"> in consultation with the Deputy Leader and Cabinet Member for Finance &amp; Asset Management</w:t>
            </w:r>
            <w:r w:rsidRPr="00B87ABE" w:rsidR="00D80449">
              <w:rPr>
                <w:rStyle w:val="Firstpagetablebold"/>
                <w:b w:val="0"/>
                <w:bCs/>
              </w:rPr>
              <w:t>,</w:t>
            </w:r>
            <w:r w:rsidRPr="00B87ABE">
              <w:rPr>
                <w:rStyle w:val="Firstpagetablebold"/>
                <w:b w:val="0"/>
                <w:bCs/>
              </w:rPr>
              <w:t xml:space="preserve"> the Director of Law, Governance </w:t>
            </w:r>
            <w:r w:rsidRPr="00B87ABE" w:rsidR="00D80449">
              <w:rPr>
                <w:rStyle w:val="Firstpagetablebold"/>
                <w:b w:val="0"/>
                <w:bCs/>
              </w:rPr>
              <w:t xml:space="preserve">&amp; Strategy </w:t>
            </w:r>
            <w:r w:rsidRPr="00B87ABE">
              <w:rPr>
                <w:rStyle w:val="Firstpagetablebold"/>
                <w:b w:val="0"/>
                <w:bCs/>
              </w:rPr>
              <w:t xml:space="preserve">and </w:t>
            </w:r>
            <w:r w:rsidRPr="00B87ABE" w:rsidR="00D80449">
              <w:rPr>
                <w:rStyle w:val="Firstpagetablebold"/>
                <w:b w:val="0"/>
                <w:bCs/>
              </w:rPr>
              <w:t xml:space="preserve">the </w:t>
            </w:r>
            <w:r w:rsidRPr="00B87ABE">
              <w:rPr>
                <w:rStyle w:val="Firstpagetablebold"/>
                <w:b w:val="0"/>
                <w:bCs/>
              </w:rPr>
              <w:t xml:space="preserve">Group Finance Director the agreement of the detailed terms for the disposal and to enter into all necessary documentation to effect the disposal on the basis that the terms comply with s.123 of the Local Government Act 1972, where powers are not already delegated within the constitution. </w:t>
            </w:r>
          </w:p>
        </w:tc>
      </w:tr>
    </w:tbl>
    <w:p w:rsidRPr="00B87ABE" w:rsidR="00025250" w:rsidP="004A6D2F" w:rsidRDefault="00025250" w14:paraId="7D5A6705" w14:textId="77777777"/>
    <w:tbl>
      <w:tblPr>
        <w:tblW w:w="9169" w:type="dxa"/>
        <w:tblInd w:w="108"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ook w:val="04A0" w:firstRow="1" w:lastRow="0" w:firstColumn="1" w:lastColumn="0" w:noHBand="0" w:noVBand="1"/>
      </w:tblPr>
      <w:tblGrid>
        <w:gridCol w:w="2526"/>
        <w:gridCol w:w="6643"/>
      </w:tblGrid>
      <w:tr w:rsidRPr="00B87ABE" w:rsidR="00025250" w:rsidTr="008B30BD" w14:paraId="67F8F7AF" w14:textId="77777777">
        <w:trPr>
          <w:trHeight w:val="327"/>
        </w:trPr>
        <w:tc>
          <w:tcPr>
            <w:tcW w:w="9169" w:type="dxa"/>
            <w:gridSpan w:val="2"/>
            <w:tcBorders>
              <w:bottom w:val="single" w:color="000000" w:themeColor="text1" w:sz="8" w:space="0"/>
            </w:tcBorders>
            <w:hideMark/>
          </w:tcPr>
          <w:p w:rsidRPr="00B87ABE" w:rsidR="00025250" w:rsidP="00FD0B08" w:rsidRDefault="00025250" w14:paraId="59493166" w14:textId="77777777">
            <w:pPr>
              <w:jc w:val="center"/>
              <w:rPr>
                <w:rStyle w:val="Firstpagetablebold"/>
                <w:rFonts w:cs="Arial"/>
              </w:rPr>
            </w:pPr>
            <w:r w:rsidRPr="00B87ABE">
              <w:rPr>
                <w:rStyle w:val="Firstpagetablebold"/>
                <w:rFonts w:cs="Arial"/>
              </w:rPr>
              <w:t xml:space="preserve">Information Exempt From Publication </w:t>
            </w:r>
          </w:p>
        </w:tc>
      </w:tr>
      <w:tr w:rsidRPr="00B87ABE" w:rsidR="00025250" w:rsidTr="008B30BD" w14:paraId="40623F28"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7"/>
        </w:trPr>
        <w:tc>
          <w:tcPr>
            <w:tcW w:w="2526" w:type="dxa"/>
            <w:tcBorders>
              <w:top w:val="nil"/>
              <w:left w:val="single" w:color="000000" w:themeColor="text1" w:sz="8" w:space="0"/>
              <w:bottom w:val="nil"/>
              <w:right w:val="single" w:color="auto" w:sz="4" w:space="0"/>
            </w:tcBorders>
          </w:tcPr>
          <w:p w:rsidRPr="00B87ABE" w:rsidR="00025250" w:rsidP="00FD0B08" w:rsidRDefault="008B30BD" w14:paraId="5542E86A" w14:textId="1273E503">
            <w:pPr>
              <w:rPr>
                <w:rStyle w:val="Firstpagetablebold"/>
                <w:rFonts w:cs="Arial"/>
              </w:rPr>
            </w:pPr>
            <w:r w:rsidRPr="00B87ABE">
              <w:rPr>
                <w:rStyle w:val="Firstpagetablebold"/>
                <w:rFonts w:cs="Arial"/>
                <w:color w:val="auto"/>
              </w:rPr>
              <w:t xml:space="preserve">Confidential Report </w:t>
            </w:r>
          </w:p>
        </w:tc>
        <w:tc>
          <w:tcPr>
            <w:tcW w:w="6642" w:type="dxa"/>
            <w:vMerge w:val="restart"/>
            <w:tcBorders>
              <w:top w:val="nil"/>
              <w:left w:val="single" w:color="auto" w:sz="4" w:space="0"/>
              <w:bottom w:val="single" w:color="000000" w:themeColor="text1" w:sz="8" w:space="0"/>
              <w:right w:val="single" w:color="000000" w:themeColor="text1" w:sz="8" w:space="0"/>
            </w:tcBorders>
          </w:tcPr>
          <w:p w:rsidRPr="00B87ABE" w:rsidR="008B30BD" w:rsidP="008B30BD" w:rsidRDefault="008B30BD" w14:paraId="2CC13CB4" w14:textId="7477F665">
            <w:pPr>
              <w:ind w:firstLine="16"/>
              <w:rPr>
                <w:rFonts w:cs="Arial"/>
                <w:color w:val="auto"/>
              </w:rPr>
            </w:pPr>
            <w:r w:rsidRPr="00B87ABE">
              <w:rPr>
                <w:rFonts w:cs="Arial"/>
                <w:color w:val="auto"/>
              </w:rPr>
              <w:t>This information is exempted from publication under Schedule 12A to the Local Government Act 1972 since it is:</w:t>
            </w:r>
          </w:p>
          <w:p w:rsidRPr="00B87ABE" w:rsidR="00025250" w:rsidP="008B30BD" w:rsidRDefault="008B30BD" w14:paraId="5064A6DD" w14:textId="664056FE">
            <w:pPr>
              <w:rPr>
                <w:rFonts w:cs="Arial"/>
                <w:color w:val="auto"/>
              </w:rPr>
            </w:pPr>
            <w:r w:rsidRPr="00B87ABE">
              <w:rPr>
                <w:rFonts w:cs="Arial"/>
                <w:color w:val="auto"/>
              </w:rPr>
              <w:t>Information about someone’s finances or business</w:t>
            </w:r>
          </w:p>
        </w:tc>
      </w:tr>
      <w:tr w:rsidRPr="00B87ABE" w:rsidR="00025250" w:rsidTr="008B30BD" w14:paraId="7888775D" w14:textId="77777777">
        <w:trPr>
          <w:trHeight w:val="327"/>
        </w:trPr>
        <w:tc>
          <w:tcPr>
            <w:tcW w:w="2526" w:type="dxa"/>
            <w:tcBorders>
              <w:top w:val="nil"/>
              <w:left w:val="single" w:color="000000" w:themeColor="text1" w:sz="8" w:space="0"/>
              <w:bottom w:val="single" w:color="auto" w:sz="4" w:space="0"/>
              <w:right w:val="nil"/>
            </w:tcBorders>
          </w:tcPr>
          <w:p w:rsidRPr="00B87ABE" w:rsidR="00025250" w:rsidP="00FD0B08" w:rsidRDefault="00025250" w14:paraId="141DB754" w14:textId="77777777">
            <w:pPr>
              <w:rPr>
                <w:rStyle w:val="Firstpagetablebold"/>
                <w:rFonts w:cs="Arial"/>
                <w:i/>
                <w:iCs/>
                <w:color w:val="D9D9D9" w:themeColor="background1" w:themeShade="D9"/>
              </w:rPr>
            </w:pPr>
          </w:p>
        </w:tc>
        <w:tc>
          <w:tcPr>
            <w:tcW w:w="6642" w:type="dxa"/>
            <w:vMerge/>
          </w:tcPr>
          <w:p w:rsidRPr="00B87ABE" w:rsidR="00025250" w:rsidP="00FD0B08" w:rsidRDefault="00025250" w14:paraId="530EC42B" w14:textId="77777777">
            <w:pPr>
              <w:rPr>
                <w:rFonts w:cs="Arial"/>
              </w:rPr>
            </w:pPr>
          </w:p>
        </w:tc>
      </w:tr>
    </w:tbl>
    <w:p w:rsidRPr="00B87ABE" w:rsidR="00025250" w:rsidP="004A6D2F" w:rsidRDefault="00025250" w14:paraId="3E3DC543" w14:textId="77777777"/>
    <w:tbl>
      <w:tblPr>
        <w:tblW w:w="0" w:type="auto"/>
        <w:tblInd w:w="108"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ook w:val="04A0" w:firstRow="1" w:lastRow="0" w:firstColumn="1" w:lastColumn="0" w:noHBand="0" w:noVBand="1"/>
      </w:tblPr>
      <w:tblGrid>
        <w:gridCol w:w="1912"/>
        <w:gridCol w:w="2803"/>
        <w:gridCol w:w="4455"/>
      </w:tblGrid>
      <w:tr w:rsidRPr="00B87ABE" w:rsidR="002312EA" w:rsidTr="62B73EE3" w14:paraId="469C2CEE" w14:textId="77777777">
        <w:trPr>
          <w:trHeight w:val="300"/>
        </w:trPr>
        <w:tc>
          <w:tcPr>
            <w:tcW w:w="1912" w:type="dxa"/>
            <w:tcBorders>
              <w:bottom w:val="single" w:color="auto" w:sz="4" w:space="0"/>
            </w:tcBorders>
          </w:tcPr>
          <w:p w:rsidRPr="00B87ABE" w:rsidR="002312EA" w:rsidP="00FD0B08" w:rsidRDefault="002312EA" w14:paraId="06B4268A" w14:textId="77777777">
            <w:pPr>
              <w:jc w:val="center"/>
              <w:rPr>
                <w:rStyle w:val="Firstpagetablebold"/>
                <w:rFonts w:cs="Arial"/>
              </w:rPr>
            </w:pPr>
            <w:r w:rsidRPr="00B87ABE">
              <w:rPr>
                <w:rStyle w:val="Firstpagetablebold"/>
                <w:rFonts w:cs="Arial"/>
              </w:rPr>
              <w:t>A</w:t>
            </w:r>
            <w:r w:rsidRPr="00B87ABE">
              <w:rPr>
                <w:rStyle w:val="Firstpagetablebold"/>
              </w:rPr>
              <w:t>ppendix No.</w:t>
            </w:r>
          </w:p>
        </w:tc>
        <w:tc>
          <w:tcPr>
            <w:tcW w:w="2803" w:type="dxa"/>
            <w:tcBorders>
              <w:bottom w:val="single" w:color="auto" w:sz="4" w:space="0"/>
            </w:tcBorders>
          </w:tcPr>
          <w:p w:rsidRPr="00B87ABE" w:rsidR="002312EA" w:rsidP="00FD0B08" w:rsidRDefault="002312EA" w14:paraId="48373E4B" w14:textId="77777777">
            <w:pPr>
              <w:jc w:val="center"/>
              <w:rPr>
                <w:rStyle w:val="Firstpagetablebold"/>
                <w:rFonts w:cs="Arial"/>
              </w:rPr>
            </w:pPr>
            <w:r w:rsidRPr="00B87ABE">
              <w:rPr>
                <w:rStyle w:val="Firstpagetablebold"/>
                <w:rFonts w:cs="Arial"/>
              </w:rPr>
              <w:t xml:space="preserve">Appendix Title </w:t>
            </w:r>
          </w:p>
        </w:tc>
        <w:tc>
          <w:tcPr>
            <w:tcW w:w="4455" w:type="dxa"/>
            <w:tcBorders>
              <w:bottom w:val="single" w:color="auto" w:sz="4" w:space="0"/>
            </w:tcBorders>
          </w:tcPr>
          <w:p w:rsidRPr="00B87ABE" w:rsidR="002312EA" w:rsidP="00FD0B08" w:rsidRDefault="002312EA" w14:paraId="0A5DAC00" w14:textId="77777777">
            <w:pPr>
              <w:jc w:val="center"/>
              <w:rPr>
                <w:rStyle w:val="Firstpagetablebold"/>
                <w:rFonts w:cs="Arial"/>
              </w:rPr>
            </w:pPr>
            <w:r w:rsidRPr="00B87ABE">
              <w:rPr>
                <w:rStyle w:val="Firstpagetablebold"/>
                <w:rFonts w:cs="Arial"/>
              </w:rPr>
              <w:t>Exempt from Publication</w:t>
            </w:r>
          </w:p>
        </w:tc>
      </w:tr>
      <w:tr w:rsidRPr="00B87ABE" w:rsidR="002312EA" w:rsidTr="008B30BD" w14:paraId="43C48BEB"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97"/>
        </w:trPr>
        <w:tc>
          <w:tcPr>
            <w:tcW w:w="1912" w:type="dxa"/>
            <w:tcBorders>
              <w:top w:val="single" w:color="auto" w:sz="4" w:space="0"/>
              <w:left w:val="single" w:color="auto" w:sz="4" w:space="0"/>
              <w:bottom w:val="single" w:color="auto" w:sz="4" w:space="0"/>
              <w:right w:val="single" w:color="auto" w:sz="4" w:space="0"/>
            </w:tcBorders>
          </w:tcPr>
          <w:p w:rsidRPr="00B87ABE" w:rsidR="002312EA" w:rsidP="00FD0B08" w:rsidRDefault="002312EA" w14:paraId="4B1742B4" w14:textId="77777777">
            <w:pPr>
              <w:rPr>
                <w:rStyle w:val="Firstpagetablebold"/>
                <w:rFonts w:cs="Arial"/>
                <w:color w:val="auto"/>
              </w:rPr>
            </w:pPr>
            <w:r w:rsidRPr="00B87ABE">
              <w:rPr>
                <w:rStyle w:val="Firstpagetablebold"/>
                <w:rFonts w:cs="Arial"/>
                <w:color w:val="auto"/>
              </w:rPr>
              <w:t>Appendix 1</w:t>
            </w:r>
          </w:p>
          <w:p w:rsidRPr="00B87ABE" w:rsidR="008B30BD" w:rsidP="00FD0B08" w:rsidRDefault="008B30BD" w14:paraId="70747163" w14:textId="4F56E2D0">
            <w:pPr>
              <w:rPr>
                <w:rStyle w:val="Firstpagetablebold"/>
                <w:rFonts w:cs="Arial"/>
                <w:color w:val="auto"/>
              </w:rPr>
            </w:pPr>
          </w:p>
        </w:tc>
        <w:tc>
          <w:tcPr>
            <w:tcW w:w="2803" w:type="dxa"/>
            <w:tcBorders>
              <w:top w:val="single" w:color="auto" w:sz="4" w:space="0"/>
              <w:left w:val="single" w:color="auto" w:sz="4" w:space="0"/>
              <w:bottom w:val="single" w:color="auto" w:sz="4" w:space="0"/>
              <w:right w:val="single" w:color="auto" w:sz="4" w:space="0"/>
            </w:tcBorders>
          </w:tcPr>
          <w:p w:rsidRPr="00B87ABE" w:rsidR="002312EA" w:rsidP="00FD0B08" w:rsidRDefault="008B30BD" w14:paraId="10A48732" w14:textId="77777777">
            <w:pPr>
              <w:rPr>
                <w:rFonts w:cs="Arial"/>
                <w:color w:val="auto"/>
              </w:rPr>
            </w:pPr>
            <w:r w:rsidRPr="00B87ABE">
              <w:rPr>
                <w:rFonts w:cs="Arial"/>
                <w:color w:val="auto"/>
              </w:rPr>
              <w:t>Location Plans 1 &amp; 2</w:t>
            </w:r>
          </w:p>
          <w:p w:rsidRPr="00B87ABE" w:rsidR="008B30BD" w:rsidP="00FD0B08" w:rsidRDefault="008B30BD" w14:paraId="3E2ED561" w14:textId="062F4FE3">
            <w:pPr>
              <w:rPr>
                <w:rFonts w:cs="Arial"/>
                <w:color w:val="auto"/>
              </w:rPr>
            </w:pPr>
          </w:p>
        </w:tc>
        <w:tc>
          <w:tcPr>
            <w:tcW w:w="4455" w:type="dxa"/>
            <w:tcBorders>
              <w:top w:val="single" w:color="auto" w:sz="4" w:space="0"/>
              <w:left w:val="single" w:color="auto" w:sz="4" w:space="0"/>
              <w:bottom w:val="single" w:color="auto" w:sz="4" w:space="0"/>
              <w:right w:val="single" w:color="auto" w:sz="4" w:space="0"/>
            </w:tcBorders>
          </w:tcPr>
          <w:p w:rsidRPr="00B87ABE" w:rsidR="002312EA" w:rsidP="008B30BD" w:rsidRDefault="008B30BD" w14:paraId="349B4576" w14:textId="07044517">
            <w:pPr>
              <w:ind w:left="426" w:hanging="426"/>
              <w:rPr>
                <w:rFonts w:cs="Arial"/>
                <w:color w:val="auto"/>
              </w:rPr>
            </w:pPr>
            <w:r w:rsidRPr="00B87ABE">
              <w:rPr>
                <w:rFonts w:cs="Arial"/>
                <w:color w:val="auto"/>
              </w:rPr>
              <w:t>No</w:t>
            </w:r>
          </w:p>
        </w:tc>
      </w:tr>
      <w:tr w:rsidRPr="00B87ABE" w:rsidR="008B30BD" w:rsidTr="62B73EE3" w14:paraId="3BBDF76B"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00"/>
        </w:trPr>
        <w:tc>
          <w:tcPr>
            <w:tcW w:w="1912" w:type="dxa"/>
            <w:tcBorders>
              <w:top w:val="single" w:color="auto" w:sz="4" w:space="0"/>
              <w:left w:val="single" w:color="auto" w:sz="4" w:space="0"/>
              <w:bottom w:val="single" w:color="auto" w:sz="4" w:space="0"/>
              <w:right w:val="single" w:color="auto" w:sz="4" w:space="0"/>
            </w:tcBorders>
          </w:tcPr>
          <w:p w:rsidRPr="00B87ABE" w:rsidR="008B30BD" w:rsidP="008B30BD" w:rsidRDefault="008B30BD" w14:paraId="68242C7A" w14:textId="77777777">
            <w:pPr>
              <w:rPr>
                <w:rStyle w:val="Firstpagetablebold"/>
              </w:rPr>
            </w:pPr>
            <w:r w:rsidRPr="00B87ABE">
              <w:rPr>
                <w:rStyle w:val="Firstpagetablebold"/>
              </w:rPr>
              <w:t>Appendix 2</w:t>
            </w:r>
          </w:p>
          <w:p w:rsidRPr="00B87ABE" w:rsidR="008B30BD" w:rsidP="00FD0B08" w:rsidRDefault="008B30BD" w14:paraId="20294B9D" w14:textId="77777777">
            <w:pPr>
              <w:rPr>
                <w:rStyle w:val="Firstpagetablebold"/>
                <w:rFonts w:cs="Arial"/>
                <w:color w:val="auto"/>
              </w:rPr>
            </w:pPr>
          </w:p>
        </w:tc>
        <w:tc>
          <w:tcPr>
            <w:tcW w:w="2803" w:type="dxa"/>
            <w:tcBorders>
              <w:top w:val="single" w:color="auto" w:sz="4" w:space="0"/>
              <w:left w:val="single" w:color="auto" w:sz="4" w:space="0"/>
              <w:bottom w:val="single" w:color="auto" w:sz="4" w:space="0"/>
              <w:right w:val="single" w:color="auto" w:sz="4" w:space="0"/>
            </w:tcBorders>
          </w:tcPr>
          <w:p w:rsidRPr="00B87ABE" w:rsidR="008B30BD" w:rsidP="00FD0B08" w:rsidRDefault="008B30BD" w14:paraId="6B4680A0" w14:textId="601865D8">
            <w:pPr>
              <w:rPr>
                <w:rFonts w:cs="Arial"/>
                <w:color w:val="auto"/>
              </w:rPr>
            </w:pPr>
            <w:r w:rsidRPr="00B87ABE">
              <w:rPr>
                <w:rFonts w:cs="Arial"/>
                <w:color w:val="auto"/>
              </w:rPr>
              <w:t>Confidential Report</w:t>
            </w:r>
          </w:p>
        </w:tc>
        <w:tc>
          <w:tcPr>
            <w:tcW w:w="4455" w:type="dxa"/>
            <w:tcBorders>
              <w:top w:val="single" w:color="auto" w:sz="4" w:space="0"/>
              <w:left w:val="single" w:color="auto" w:sz="4" w:space="0"/>
              <w:bottom w:val="single" w:color="auto" w:sz="4" w:space="0"/>
              <w:right w:val="single" w:color="auto" w:sz="4" w:space="0"/>
            </w:tcBorders>
          </w:tcPr>
          <w:p w:rsidRPr="00B87ABE" w:rsidR="008B30BD" w:rsidP="008B30BD" w:rsidRDefault="008B30BD" w14:paraId="46EFE7A3" w14:textId="77777777">
            <w:pPr>
              <w:ind w:left="426" w:hanging="426"/>
              <w:rPr>
                <w:rFonts w:cs="Arial"/>
                <w:color w:val="auto"/>
              </w:rPr>
            </w:pPr>
            <w:r w:rsidRPr="00B87ABE">
              <w:rPr>
                <w:rFonts w:cs="Arial"/>
                <w:color w:val="auto"/>
              </w:rPr>
              <w:t>Yes</w:t>
            </w:r>
          </w:p>
          <w:p w:rsidRPr="00B87ABE" w:rsidR="008B30BD" w:rsidP="008B30BD" w:rsidRDefault="008B30BD" w14:paraId="7C962457" w14:textId="2AD5E3E9">
            <w:pPr>
              <w:ind w:firstLine="16"/>
              <w:rPr>
                <w:rFonts w:cs="Arial"/>
                <w:color w:val="auto"/>
              </w:rPr>
            </w:pPr>
            <w:r w:rsidRPr="00B87ABE">
              <w:rPr>
                <w:rFonts w:cs="Arial"/>
                <w:color w:val="auto"/>
              </w:rPr>
              <w:t xml:space="preserve">This information is exempted from publication under Schedule 12A to the Local Government Act </w:t>
            </w:r>
            <w:r w:rsidRPr="00B87ABE" w:rsidR="00E81DE1">
              <w:rPr>
                <w:rFonts w:cs="Arial"/>
                <w:color w:val="auto"/>
              </w:rPr>
              <w:t>1972 since</w:t>
            </w:r>
            <w:r w:rsidRPr="00B87ABE">
              <w:rPr>
                <w:rFonts w:cs="Arial"/>
                <w:color w:val="auto"/>
              </w:rPr>
              <w:t xml:space="preserve"> it is:</w:t>
            </w:r>
          </w:p>
          <w:p w:rsidRPr="00B87ABE" w:rsidR="008B30BD" w:rsidP="008B30BD" w:rsidRDefault="008B30BD" w14:paraId="26FD0C6D" w14:textId="77777777">
            <w:pPr>
              <w:rPr>
                <w:rFonts w:cs="Arial"/>
                <w:color w:val="auto"/>
              </w:rPr>
            </w:pPr>
            <w:r w:rsidRPr="00B87ABE">
              <w:rPr>
                <w:rFonts w:cs="Arial"/>
                <w:color w:val="auto"/>
              </w:rPr>
              <w:t>Information about someone’s finances or business</w:t>
            </w:r>
          </w:p>
          <w:p w:rsidRPr="00B87ABE" w:rsidR="008B30BD" w:rsidP="00FD0B08" w:rsidRDefault="008B30BD" w14:paraId="0AC17BFB" w14:textId="77777777">
            <w:pPr>
              <w:ind w:left="426" w:hanging="426"/>
              <w:rPr>
                <w:rFonts w:cs="Arial"/>
                <w:color w:val="auto"/>
              </w:rPr>
            </w:pPr>
          </w:p>
        </w:tc>
      </w:tr>
      <w:tr w:rsidRPr="00B87ABE" w:rsidR="002312EA" w:rsidTr="62B73EE3" w14:paraId="5332D292" w14:textId="77777777">
        <w:trPr>
          <w:trHeight w:val="300"/>
        </w:trPr>
        <w:tc>
          <w:tcPr>
            <w:tcW w:w="1912" w:type="dxa"/>
            <w:tcBorders>
              <w:top w:val="single" w:color="auto" w:sz="4" w:space="0"/>
              <w:left w:val="single" w:color="000000" w:themeColor="text1" w:sz="8" w:space="0"/>
              <w:bottom w:val="single" w:color="auto" w:sz="4" w:space="0"/>
              <w:right w:val="single" w:color="auto" w:sz="4" w:space="0"/>
            </w:tcBorders>
          </w:tcPr>
          <w:p w:rsidRPr="00B87ABE" w:rsidR="002312EA" w:rsidP="00FD0B08" w:rsidRDefault="002312EA" w14:paraId="66389E38" w14:textId="5EC40B4A">
            <w:pPr>
              <w:rPr>
                <w:rStyle w:val="Firstpagetablebold"/>
                <w:rFonts w:cs="Arial"/>
                <w:color w:val="auto"/>
              </w:rPr>
            </w:pPr>
            <w:r w:rsidRPr="00B87ABE">
              <w:rPr>
                <w:rStyle w:val="Firstpagetablebold"/>
                <w:rFonts w:cs="Arial"/>
                <w:color w:val="auto"/>
              </w:rPr>
              <w:t xml:space="preserve">Appendix </w:t>
            </w:r>
            <w:r w:rsidRPr="00B87ABE" w:rsidR="008B30BD">
              <w:rPr>
                <w:rStyle w:val="Firstpagetablebold"/>
                <w:rFonts w:cs="Arial"/>
                <w:color w:val="auto"/>
              </w:rPr>
              <w:t>3</w:t>
            </w:r>
          </w:p>
        </w:tc>
        <w:tc>
          <w:tcPr>
            <w:tcW w:w="2803" w:type="dxa"/>
            <w:tcBorders>
              <w:top w:val="single" w:color="auto" w:sz="4" w:space="0"/>
              <w:left w:val="single" w:color="auto" w:sz="4" w:space="0"/>
              <w:bottom w:val="single" w:color="auto" w:sz="4" w:space="0"/>
              <w:right w:val="single" w:color="auto" w:sz="4" w:space="0"/>
            </w:tcBorders>
          </w:tcPr>
          <w:p w:rsidRPr="00B87ABE" w:rsidR="002312EA" w:rsidP="00FD0B08" w:rsidRDefault="008B30BD" w14:paraId="251AC11B" w14:textId="046E8989">
            <w:pPr>
              <w:rPr>
                <w:rFonts w:cs="Arial"/>
                <w:color w:val="auto"/>
              </w:rPr>
            </w:pPr>
            <w:r w:rsidRPr="00B87ABE">
              <w:rPr>
                <w:rFonts w:cs="Arial"/>
                <w:color w:val="auto"/>
              </w:rPr>
              <w:t>R</w:t>
            </w:r>
            <w:r w:rsidRPr="00B87ABE">
              <w:t xml:space="preserve">isk Register </w:t>
            </w:r>
          </w:p>
        </w:tc>
        <w:tc>
          <w:tcPr>
            <w:tcW w:w="4455" w:type="dxa"/>
            <w:tcBorders>
              <w:top w:val="single" w:color="auto" w:sz="4" w:space="0"/>
              <w:left w:val="single" w:color="auto" w:sz="4" w:space="0"/>
              <w:bottom w:val="single" w:color="auto" w:sz="4" w:space="0"/>
              <w:right w:val="single" w:color="000000" w:themeColor="text1" w:sz="8" w:space="0"/>
            </w:tcBorders>
          </w:tcPr>
          <w:p w:rsidRPr="00B87ABE" w:rsidR="002312EA" w:rsidP="00FD0B08" w:rsidRDefault="008B30BD" w14:paraId="0E6EFED4" w14:textId="1C738BD6">
            <w:pPr>
              <w:rPr>
                <w:rFonts w:cs="Arial"/>
                <w:color w:val="auto"/>
              </w:rPr>
            </w:pPr>
            <w:r w:rsidRPr="00B87ABE">
              <w:rPr>
                <w:rFonts w:cs="Arial"/>
                <w:color w:val="auto"/>
              </w:rPr>
              <w:t>N</w:t>
            </w:r>
            <w:r w:rsidRPr="00B87ABE">
              <w:t>o</w:t>
            </w:r>
          </w:p>
        </w:tc>
      </w:tr>
    </w:tbl>
    <w:p w:rsidRPr="00B87ABE" w:rsidR="002312EA" w:rsidP="004A6D2F" w:rsidRDefault="002312EA" w14:paraId="572B1CF3" w14:textId="77777777"/>
    <w:p w:rsidRPr="00B87ABE" w:rsidR="0040736F" w:rsidP="001B5AE1" w:rsidRDefault="00F66DCA" w14:paraId="50E21B3B" w14:textId="77777777">
      <w:pPr>
        <w:pStyle w:val="Heading1"/>
        <w:jc w:val="both"/>
      </w:pPr>
      <w:r w:rsidRPr="00B87ABE">
        <w:t>Introduction and b</w:t>
      </w:r>
      <w:r w:rsidRPr="00B87ABE" w:rsidR="00151888">
        <w:t>ackground</w:t>
      </w:r>
      <w:r w:rsidRPr="00B87ABE" w:rsidR="00404032">
        <w:t xml:space="preserve"> </w:t>
      </w:r>
    </w:p>
    <w:p w:rsidRPr="00B87ABE" w:rsidR="00AC55CF" w:rsidP="001B5AE1" w:rsidRDefault="00AC55CF" w14:paraId="3D2052C7" w14:textId="4471A95A">
      <w:pPr>
        <w:pStyle w:val="ListParagraph"/>
        <w:numPr>
          <w:ilvl w:val="0"/>
          <w:numId w:val="37"/>
        </w:numPr>
        <w:jc w:val="both"/>
      </w:pPr>
      <w:r w:rsidRPr="00B87ABE">
        <w:t>Oxford City Council owns the freehold interest in 9, 10, 16a and 16b Ship Street and 10 St Michaels Street. The plan</w:t>
      </w:r>
      <w:r w:rsidRPr="00B87ABE" w:rsidR="00521044">
        <w:t>s</w:t>
      </w:r>
      <w:r w:rsidRPr="00B87ABE">
        <w:t xml:space="preserve"> in Appendix 1 show the properties edged in red together with Oxford City Council’s freehold ownership outlined in blue. </w:t>
      </w:r>
      <w:r w:rsidRPr="00B87ABE" w:rsidR="00E81DE1">
        <w:t xml:space="preserve">This ownership is situated within a Conservation Area. </w:t>
      </w:r>
    </w:p>
    <w:p w:rsidRPr="00B87ABE" w:rsidR="00AC55CF" w:rsidP="001B5AE1" w:rsidRDefault="00AC55CF" w14:paraId="144803A4" w14:textId="6F13D456">
      <w:pPr>
        <w:pStyle w:val="ListParagraph"/>
        <w:numPr>
          <w:ilvl w:val="0"/>
          <w:numId w:val="37"/>
        </w:numPr>
        <w:jc w:val="both"/>
      </w:pPr>
      <w:r w:rsidRPr="00B87ABE">
        <w:t xml:space="preserve">These properties were recently offered to the market on the basis of a proposed long leasehold disposal. A number of interested parties came forward and a best bids process was undertaken. </w:t>
      </w:r>
    </w:p>
    <w:p w:rsidRPr="00B87ABE" w:rsidR="00AC55CF" w:rsidP="001B5AE1" w:rsidRDefault="00AC55CF" w14:paraId="41361FEE" w14:textId="649DAB7E">
      <w:pPr>
        <w:pStyle w:val="ListParagraph"/>
        <w:numPr>
          <w:ilvl w:val="0"/>
          <w:numId w:val="37"/>
        </w:numPr>
        <w:jc w:val="both"/>
      </w:pPr>
      <w:r w:rsidRPr="00B87ABE">
        <w:t xml:space="preserve">Approval is sought to the outline terms and to delegate authority to agree the detailed terms for the sale, final form of documents and </w:t>
      </w:r>
      <w:r w:rsidRPr="00B87ABE" w:rsidR="00E81DE1">
        <w:t>enter</w:t>
      </w:r>
      <w:r w:rsidRPr="00B87ABE">
        <w:t xml:space="preserve"> the transaction. </w:t>
      </w:r>
    </w:p>
    <w:p w:rsidRPr="00B87ABE" w:rsidR="00AC55CF" w:rsidP="001B5AE1" w:rsidRDefault="00A861F6" w14:paraId="4879FEEE" w14:textId="65F30EC3">
      <w:pPr>
        <w:pStyle w:val="ListParagraph"/>
        <w:numPr>
          <w:ilvl w:val="0"/>
          <w:numId w:val="37"/>
        </w:numPr>
        <w:jc w:val="both"/>
      </w:pPr>
      <w:r w:rsidRPr="00B87ABE">
        <w:t xml:space="preserve">Appendix 2 </w:t>
      </w:r>
      <w:r w:rsidRPr="00B87ABE" w:rsidR="00AC55CF">
        <w:t xml:space="preserve">to the report is confidential as it contains commercially sensitive information. </w:t>
      </w:r>
    </w:p>
    <w:p w:rsidRPr="00B87ABE" w:rsidR="00E87F7A" w:rsidP="001B5AE1" w:rsidRDefault="003C5890" w14:paraId="78625B37" w14:textId="1D22FA33">
      <w:pPr>
        <w:pStyle w:val="Heading1"/>
        <w:jc w:val="both"/>
      </w:pPr>
      <w:r w:rsidRPr="00B87ABE">
        <w:t>Proposal</w:t>
      </w:r>
    </w:p>
    <w:p w:rsidRPr="00B87ABE" w:rsidR="003C5890" w:rsidP="001B5AE1" w:rsidRDefault="003C5890" w14:paraId="312CE728" w14:textId="0820B982">
      <w:pPr>
        <w:pStyle w:val="bParagraphtext"/>
        <w:jc w:val="both"/>
      </w:pPr>
      <w:r w:rsidRPr="00B87ABE">
        <w:t xml:space="preserve">The proposal is to dispose of the long leasehold (125 year) interest in these properties to secure a capital receipt. Details are provided in the confidential appendix attached to the report. </w:t>
      </w:r>
    </w:p>
    <w:p w:rsidRPr="00B87ABE" w:rsidR="002312EA" w:rsidP="001B5AE1" w:rsidRDefault="002312EA" w14:paraId="70635196" w14:textId="298A5F7F">
      <w:pPr>
        <w:pStyle w:val="Heading1"/>
        <w:jc w:val="both"/>
      </w:pPr>
      <w:r w:rsidRPr="00B87ABE">
        <w:t xml:space="preserve">Alternative Options Considered </w:t>
      </w:r>
    </w:p>
    <w:p w:rsidRPr="00B87ABE" w:rsidR="00E81DE1" w:rsidP="001B5AE1" w:rsidRDefault="00E81DE1" w14:paraId="79194604" w14:textId="77777777">
      <w:pPr>
        <w:pStyle w:val="bParagraphtext"/>
        <w:jc w:val="both"/>
        <w:rPr>
          <w:rFonts w:cs="Arial"/>
          <w:color w:val="auto"/>
        </w:rPr>
      </w:pPr>
      <w:r w:rsidRPr="00B87ABE">
        <w:rPr>
          <w:rFonts w:cs="Arial"/>
          <w:color w:val="auto"/>
        </w:rPr>
        <w:t>The following alternative options were considered:</w:t>
      </w:r>
    </w:p>
    <w:p w:rsidRPr="00B87ABE" w:rsidR="00E81DE1" w:rsidP="001B5AE1" w:rsidRDefault="00E81DE1" w14:paraId="1C2B206C" w14:textId="774694CB">
      <w:pPr>
        <w:pStyle w:val="bParagraphtext"/>
        <w:numPr>
          <w:ilvl w:val="1"/>
          <w:numId w:val="14"/>
        </w:numPr>
        <w:jc w:val="both"/>
        <w:rPr>
          <w:rFonts w:cs="Arial"/>
          <w:color w:val="auto"/>
        </w:rPr>
      </w:pPr>
      <w:r w:rsidRPr="00B87ABE">
        <w:rPr>
          <w:rFonts w:cs="Arial"/>
          <w:color w:val="auto"/>
        </w:rPr>
        <w:t>Market the properties for shorter occupational leases. This option would require expenditure by the Council prior to marketing</w:t>
      </w:r>
      <w:r w:rsidRPr="00B87ABE" w:rsidR="000B228E">
        <w:rPr>
          <w:rFonts w:cs="Arial"/>
          <w:color w:val="auto"/>
        </w:rPr>
        <w:t xml:space="preserve"> and</w:t>
      </w:r>
      <w:r w:rsidRPr="00B87ABE">
        <w:rPr>
          <w:rFonts w:cs="Arial"/>
          <w:color w:val="auto"/>
        </w:rPr>
        <w:t xml:space="preserve"> would</w:t>
      </w:r>
      <w:r w:rsidRPr="00B87ABE" w:rsidR="000B228E">
        <w:rPr>
          <w:rFonts w:cs="Arial"/>
          <w:color w:val="auto"/>
        </w:rPr>
        <w:t xml:space="preserve"> also</w:t>
      </w:r>
      <w:r w:rsidRPr="00B87ABE">
        <w:rPr>
          <w:rFonts w:cs="Arial"/>
          <w:color w:val="auto"/>
        </w:rPr>
        <w:t xml:space="preserve"> have an extended timescale to achieve income with planning requir</w:t>
      </w:r>
      <w:r w:rsidR="00CE6666">
        <w:rPr>
          <w:rFonts w:cs="Arial"/>
          <w:color w:val="auto"/>
        </w:rPr>
        <w:t>ements</w:t>
      </w:r>
      <w:r w:rsidRPr="00B87ABE">
        <w:rPr>
          <w:rFonts w:cs="Arial"/>
          <w:color w:val="auto"/>
        </w:rPr>
        <w:t xml:space="preserve"> and tenant incentives. Further, demand for shorter leases would be uncertain. This option was therefore rejected.</w:t>
      </w:r>
    </w:p>
    <w:p w:rsidRPr="00B87ABE" w:rsidR="002312EA" w:rsidP="001B5AE1" w:rsidRDefault="00E81DE1" w14:paraId="5556DAA0" w14:textId="1DFFAB46">
      <w:pPr>
        <w:pStyle w:val="bParagraphtext"/>
        <w:numPr>
          <w:ilvl w:val="1"/>
          <w:numId w:val="14"/>
        </w:numPr>
        <w:jc w:val="both"/>
        <w:rPr>
          <w:rFonts w:cs="Arial"/>
          <w:color w:val="auto"/>
        </w:rPr>
      </w:pPr>
      <w:r w:rsidRPr="00B87ABE">
        <w:rPr>
          <w:rFonts w:cs="Arial"/>
          <w:color w:val="auto"/>
        </w:rPr>
        <w:lastRenderedPageBreak/>
        <w:t xml:space="preserve">Freehold disposal. </w:t>
      </w:r>
      <w:r w:rsidRPr="00B87ABE" w:rsidR="00965A26">
        <w:rPr>
          <w:rFonts w:cs="Arial"/>
          <w:color w:val="auto"/>
        </w:rPr>
        <w:t>The properties are situated within a wider City Council ownership bl</w:t>
      </w:r>
      <w:r w:rsidRPr="00B87ABE" w:rsidR="000B228E">
        <w:rPr>
          <w:rFonts w:cs="Arial"/>
          <w:color w:val="auto"/>
        </w:rPr>
        <w:t>o</w:t>
      </w:r>
      <w:r w:rsidRPr="00B87ABE" w:rsidR="00965A26">
        <w:rPr>
          <w:rFonts w:cs="Arial"/>
          <w:color w:val="auto"/>
        </w:rPr>
        <w:t xml:space="preserve">ck and this option would remove the ability for any potential future long term strategic proposals. There would also be negligible additional </w:t>
      </w:r>
      <w:r w:rsidRPr="00B87ABE" w:rsidR="001B5AE1">
        <w:rPr>
          <w:rFonts w:cs="Arial"/>
          <w:color w:val="auto"/>
        </w:rPr>
        <w:t xml:space="preserve">value for a </w:t>
      </w:r>
      <w:r w:rsidRPr="00B87ABE" w:rsidR="00965A26">
        <w:rPr>
          <w:rFonts w:cs="Arial"/>
          <w:color w:val="auto"/>
        </w:rPr>
        <w:t xml:space="preserve">capital receipt on a freehold disposal. This option was therefore rejected. </w:t>
      </w:r>
      <w:r w:rsidRPr="00B87ABE" w:rsidR="002312EA">
        <w:rPr>
          <w:rFonts w:cs="Arial"/>
          <w:color w:val="auto"/>
        </w:rPr>
        <w:t xml:space="preserve"> </w:t>
      </w:r>
    </w:p>
    <w:p w:rsidRPr="00B87ABE" w:rsidR="0040736F" w:rsidP="001B5AE1" w:rsidRDefault="002329CF" w14:paraId="11308776" w14:textId="77777777">
      <w:pPr>
        <w:pStyle w:val="Heading1"/>
        <w:jc w:val="both"/>
      </w:pPr>
      <w:r w:rsidRPr="00B87ABE">
        <w:t>Financial implications</w:t>
      </w:r>
    </w:p>
    <w:p w:rsidRPr="00B87ABE" w:rsidR="003C5890" w:rsidP="001B5AE1" w:rsidRDefault="003C5890" w14:paraId="107FBE5E" w14:textId="4A9EDA94">
      <w:pPr>
        <w:pStyle w:val="ListParagraph"/>
        <w:jc w:val="both"/>
        <w:rPr>
          <w:rStyle w:val="bParagraphtextChar"/>
        </w:rPr>
      </w:pPr>
      <w:r w:rsidRPr="00B87ABE">
        <w:rPr>
          <w:rStyle w:val="bParagraphtextChar"/>
        </w:rPr>
        <w:t xml:space="preserve">The disposal of these properties will provide a capital receipt to reduce borrowing and support the Council’s Medium Term Financial Plan. The detailed terms are in Confidential Appendix 2, being commercially sensitive. </w:t>
      </w:r>
    </w:p>
    <w:p w:rsidRPr="00B87ABE" w:rsidR="0040736F" w:rsidP="001B5AE1" w:rsidRDefault="00DA614B" w14:paraId="06827778" w14:textId="77777777">
      <w:pPr>
        <w:pStyle w:val="Heading1"/>
        <w:jc w:val="both"/>
      </w:pPr>
      <w:r w:rsidRPr="00B87ABE">
        <w:t>Legal issues</w:t>
      </w:r>
    </w:p>
    <w:p w:rsidRPr="00B87ABE" w:rsidR="003C5890" w:rsidP="001B5AE1" w:rsidRDefault="003C5890" w14:paraId="2DB7CA05" w14:textId="77777777">
      <w:pPr>
        <w:pStyle w:val="ListParagraph"/>
        <w:jc w:val="both"/>
        <w:rPr>
          <w:rStyle w:val="bParagraphtextChar"/>
        </w:rPr>
      </w:pPr>
      <w:r w:rsidRPr="00B87ABE">
        <w:rPr>
          <w:rStyle w:val="bParagraphtextChar"/>
        </w:rPr>
        <w:t xml:space="preserve">Section 123 Local Government Act 1972 empowers a local authority to dispose of property, by way of lease or sale. The disposal of property cannot be for a consideration less than the best that can be reasonably obtained unless consent of the Secretary of State is obtained. The proposal is in line with S.123 requirements.   </w:t>
      </w:r>
    </w:p>
    <w:p w:rsidR="00AA718A" w:rsidP="001B5AE1" w:rsidRDefault="00AA718A" w14:paraId="56DEC649" w14:textId="77DB8ECD">
      <w:pPr>
        <w:pStyle w:val="ListParagraph"/>
        <w:jc w:val="both"/>
        <w:rPr>
          <w:rStyle w:val="bParagraphtextChar"/>
        </w:rPr>
      </w:pPr>
      <w:bookmarkStart w:name="_Hlk197528902" w:id="0"/>
      <w:r w:rsidRPr="00B87ABE">
        <w:rPr>
          <w:rStyle w:val="bParagraphtextChar"/>
        </w:rPr>
        <w:t xml:space="preserve">The delegated officer decision is also </w:t>
      </w:r>
      <w:r w:rsidRPr="00B87ABE" w:rsidR="00403148">
        <w:rPr>
          <w:rStyle w:val="bParagraphtextChar"/>
        </w:rPr>
        <w:t>on the Forward Plan. See link</w:t>
      </w:r>
      <w:bookmarkEnd w:id="0"/>
      <w:r w:rsidR="00402CC6">
        <w:rPr>
          <w:rStyle w:val="bParagraphtextChar"/>
        </w:rPr>
        <w:t xml:space="preserve">: </w:t>
      </w:r>
    </w:p>
    <w:p w:rsidRPr="00B87ABE" w:rsidR="00402CC6" w:rsidP="00402CC6" w:rsidRDefault="00402CC6" w14:paraId="18A8C19A" w14:textId="5ECA3B37">
      <w:pPr>
        <w:pStyle w:val="ListParagraph"/>
        <w:numPr>
          <w:ilvl w:val="1"/>
          <w:numId w:val="14"/>
        </w:numPr>
        <w:jc w:val="both"/>
        <w:rPr>
          <w:rStyle w:val="bParagraphtextChar"/>
        </w:rPr>
      </w:pPr>
      <w:hyperlink w:history="1" r:id="rId11">
        <w:r w:rsidRPr="00402CC6">
          <w:rPr>
            <w:rStyle w:val="Hyperlink"/>
          </w:rPr>
          <w:t>Issue details - Officer Decision to dispose of the long leasehold interests in 9, 10, 16a &amp; 16b Ship Street and 10 St Michaels Street | Oxford City Council</w:t>
        </w:r>
      </w:hyperlink>
    </w:p>
    <w:p w:rsidRPr="00B87ABE" w:rsidR="002329CF" w:rsidP="001B5AE1" w:rsidRDefault="002329CF" w14:paraId="39265579" w14:textId="77777777">
      <w:pPr>
        <w:pStyle w:val="Heading1"/>
        <w:jc w:val="both"/>
      </w:pPr>
      <w:r w:rsidRPr="00B87ABE">
        <w:t>Level of risk</w:t>
      </w:r>
    </w:p>
    <w:p w:rsidRPr="00B87ABE" w:rsidR="00BC69A4" w:rsidP="001B5AE1" w:rsidRDefault="003C5890" w14:paraId="0EA9CFE9" w14:textId="2638F164">
      <w:pPr>
        <w:pStyle w:val="bParagraphtext"/>
        <w:jc w:val="both"/>
      </w:pPr>
      <w:r w:rsidRPr="00B87ABE">
        <w:t>The risk register is attached in Appendix 3.</w:t>
      </w:r>
    </w:p>
    <w:p w:rsidRPr="00B87ABE" w:rsidR="002329CF" w:rsidP="001B5AE1" w:rsidRDefault="002329CF" w14:paraId="2399E607" w14:textId="77777777">
      <w:pPr>
        <w:pStyle w:val="Heading1"/>
        <w:jc w:val="both"/>
      </w:pPr>
      <w:r w:rsidRPr="00B87ABE">
        <w:t xml:space="preserve">Equalities impact </w:t>
      </w:r>
    </w:p>
    <w:p w:rsidRPr="00B87ABE" w:rsidR="003C5890" w:rsidP="001B5AE1" w:rsidRDefault="003C5890" w14:paraId="51BF9E1A" w14:textId="59DF3741">
      <w:pPr>
        <w:pStyle w:val="ListParagraph"/>
        <w:jc w:val="both"/>
      </w:pPr>
      <w:bookmarkStart w:name="_Hlk184712181" w:id="1"/>
      <w:r w:rsidRPr="00B87ABE">
        <w:t xml:space="preserve">The financial benefit to the City Council will help provide services, notably those in line with the City Council’s ambition to create a more equal city. </w:t>
      </w:r>
    </w:p>
    <w:p w:rsidRPr="00B87ABE" w:rsidR="00FB3B71" w:rsidP="001B5AE1" w:rsidRDefault="003C5890" w14:paraId="28DC08B6" w14:textId="6BF5B751">
      <w:pPr>
        <w:pStyle w:val="ListParagraph"/>
        <w:jc w:val="both"/>
        <w:rPr>
          <w:b/>
        </w:rPr>
      </w:pPr>
      <w:r w:rsidRPr="00B87ABE">
        <w:t xml:space="preserve">The disposal of these properties does not give rise to any direct </w:t>
      </w:r>
      <w:r w:rsidRPr="00B87ABE" w:rsidR="002464D7">
        <w:t>equalities’</w:t>
      </w:r>
      <w:r w:rsidRPr="00B87ABE">
        <w:t xml:space="preserve"> issues</w:t>
      </w:r>
      <w:r w:rsidRPr="00B87ABE" w:rsidR="00E81DE1">
        <w:t xml:space="preserve">. Therefore, an Equalities Impact Assessment is not necessary. </w:t>
      </w:r>
      <w:bookmarkEnd w:id="1"/>
    </w:p>
    <w:p w:rsidRPr="00B87ABE" w:rsidR="00FB3B71" w:rsidP="001B5AE1" w:rsidRDefault="00950824" w14:paraId="1C46F1C8" w14:textId="77777777">
      <w:pPr>
        <w:pStyle w:val="bParagraphtext"/>
        <w:numPr>
          <w:ilvl w:val="0"/>
          <w:numId w:val="0"/>
        </w:numPr>
        <w:jc w:val="both"/>
      </w:pPr>
      <w:bookmarkStart w:name="_Hlk184712246" w:id="2"/>
      <w:r w:rsidRPr="00B87ABE">
        <w:rPr>
          <w:b/>
        </w:rPr>
        <w:t>Carbon and Environmental Considerations</w:t>
      </w:r>
      <w:r w:rsidRPr="00B87ABE" w:rsidR="00FB3B71">
        <w:rPr>
          <w:b/>
        </w:rPr>
        <w:t xml:space="preserve"> </w:t>
      </w:r>
    </w:p>
    <w:p w:rsidRPr="00B87ABE" w:rsidR="00FB3B71" w:rsidP="001B5AE1" w:rsidRDefault="00E81DE1" w14:paraId="68B639F4" w14:textId="2E639149">
      <w:pPr>
        <w:pStyle w:val="bParagraphtext"/>
        <w:jc w:val="both"/>
      </w:pPr>
      <w:r w:rsidRPr="00B87ABE">
        <w:t xml:space="preserve">This report does not give rise to any direct carbon or environmental considerations. </w:t>
      </w:r>
    </w:p>
    <w:bookmarkEnd w:id="2"/>
    <w:p w:rsidRPr="00B87ABE" w:rsidR="00FB3B71" w:rsidP="001B5AE1" w:rsidRDefault="00FB3B71" w14:paraId="1C7A0F5E" w14:textId="77777777">
      <w:pPr>
        <w:pStyle w:val="bParagraphtext"/>
        <w:numPr>
          <w:ilvl w:val="0"/>
          <w:numId w:val="0"/>
        </w:numPr>
        <w:jc w:val="both"/>
        <w:rPr>
          <w:b/>
        </w:rPr>
      </w:pPr>
      <w:r w:rsidRPr="00B87ABE">
        <w:rPr>
          <w:b/>
        </w:rPr>
        <w:t>Conclusion</w:t>
      </w:r>
    </w:p>
    <w:p w:rsidRPr="00B87ABE" w:rsidR="00E81DE1" w:rsidP="001B5AE1" w:rsidRDefault="00E81DE1" w14:paraId="77B03451" w14:textId="77777777">
      <w:pPr>
        <w:pStyle w:val="bParagraphtext"/>
        <w:jc w:val="both"/>
      </w:pPr>
      <w:r w:rsidRPr="00B87ABE">
        <w:t xml:space="preserve">The Council is looking at all options to manage its budget in the Medium-Term Financial plan, and the disposal of these properties will generate a capital receipt that will support the Council’s financial position. </w:t>
      </w:r>
    </w:p>
    <w:p w:rsidRPr="00B87ABE" w:rsidR="00E206D6" w:rsidP="00E206D6" w:rsidRDefault="00E206D6" w14:paraId="1C3EE284" w14:textId="77777777">
      <w:pPr>
        <w:pStyle w:val="ListParagraph"/>
        <w:numPr>
          <w:ilvl w:val="0"/>
          <w:numId w:val="0"/>
        </w:numPr>
        <w:ind w:left="426"/>
      </w:pPr>
    </w:p>
    <w:p w:rsidRPr="00B87ABE" w:rsidR="002329CF" w:rsidP="004A6D2F" w:rsidRDefault="002329CF" w14:paraId="3384B174" w14:textId="77777777"/>
    <w:tbl>
      <w:tblPr>
        <w:tblW w:w="0" w:type="auto"/>
        <w:tblInd w:w="108" w:type="dxa"/>
        <w:tblBorders>
          <w:top w:val="single" w:color="C0504D" w:sz="4" w:space="0"/>
          <w:left w:val="single" w:color="C0504D" w:sz="4" w:space="0"/>
          <w:bottom w:val="single" w:color="C0504D" w:sz="4" w:space="0"/>
          <w:right w:val="single" w:color="C0504D" w:sz="4" w:space="0"/>
        </w:tblBorders>
        <w:tblLook w:val="04A0" w:firstRow="1" w:lastRow="0" w:firstColumn="1" w:lastColumn="0" w:noHBand="0" w:noVBand="1"/>
      </w:tblPr>
      <w:tblGrid>
        <w:gridCol w:w="3969"/>
        <w:gridCol w:w="4962"/>
      </w:tblGrid>
      <w:tr w:rsidRPr="00B87ABE" w:rsidR="00DF093E" w:rsidTr="00A46E98" w14:paraId="0FA94296" w14:textId="77777777">
        <w:trPr>
          <w:cantSplit/>
          <w:trHeight w:val="396"/>
        </w:trPr>
        <w:tc>
          <w:tcPr>
            <w:tcW w:w="3969" w:type="dxa"/>
            <w:tcBorders>
              <w:top w:val="single" w:color="000000" w:sz="8" w:space="0"/>
              <w:left w:val="single" w:color="000000" w:sz="8" w:space="0"/>
              <w:bottom w:val="single" w:color="000000" w:sz="8" w:space="0"/>
              <w:right w:val="nil"/>
            </w:tcBorders>
            <w:shd w:val="clear" w:color="auto" w:fill="auto"/>
          </w:tcPr>
          <w:p w:rsidRPr="00B87ABE" w:rsidR="00E87F7A" w:rsidP="00A46E98" w:rsidRDefault="00E87F7A" w14:paraId="04987E45" w14:textId="77777777">
            <w:pPr>
              <w:rPr>
                <w:b/>
              </w:rPr>
            </w:pPr>
            <w:r w:rsidRPr="00B87ABE">
              <w:rPr>
                <w:b/>
              </w:rPr>
              <w:t>Report author</w:t>
            </w:r>
          </w:p>
        </w:tc>
        <w:tc>
          <w:tcPr>
            <w:tcW w:w="4962" w:type="dxa"/>
            <w:tcBorders>
              <w:top w:val="single" w:color="000000" w:sz="8" w:space="0"/>
              <w:left w:val="nil"/>
              <w:bottom w:val="single" w:color="000000" w:sz="8" w:space="0"/>
              <w:right w:val="single" w:color="000000" w:sz="8" w:space="0"/>
            </w:tcBorders>
            <w:shd w:val="clear" w:color="auto" w:fill="auto"/>
          </w:tcPr>
          <w:p w:rsidRPr="00B87ABE" w:rsidR="00E87F7A" w:rsidP="00A46E98" w:rsidRDefault="00E81DE1" w14:paraId="6930C959" w14:textId="32EAD925">
            <w:r w:rsidRPr="00B87ABE">
              <w:t>Bill Wilberforce</w:t>
            </w:r>
          </w:p>
        </w:tc>
      </w:tr>
      <w:tr w:rsidRPr="00B87ABE" w:rsidR="00DF093E" w:rsidTr="00A46E98" w14:paraId="07A5B9C2" w14:textId="77777777">
        <w:trPr>
          <w:cantSplit/>
          <w:trHeight w:val="396"/>
        </w:trPr>
        <w:tc>
          <w:tcPr>
            <w:tcW w:w="3969" w:type="dxa"/>
            <w:tcBorders>
              <w:top w:val="single" w:color="000000" w:sz="8" w:space="0"/>
              <w:left w:val="single" w:color="000000" w:sz="8" w:space="0"/>
              <w:bottom w:val="nil"/>
              <w:right w:val="nil"/>
            </w:tcBorders>
            <w:shd w:val="clear" w:color="auto" w:fill="auto"/>
          </w:tcPr>
          <w:p w:rsidRPr="00B87ABE" w:rsidR="00E87F7A" w:rsidP="00A46E98" w:rsidRDefault="00E87F7A" w14:paraId="6B6C3381" w14:textId="77777777">
            <w:r w:rsidRPr="00B87ABE">
              <w:t>Job title</w:t>
            </w:r>
          </w:p>
        </w:tc>
        <w:tc>
          <w:tcPr>
            <w:tcW w:w="4962" w:type="dxa"/>
            <w:tcBorders>
              <w:top w:val="single" w:color="000000" w:sz="8" w:space="0"/>
              <w:left w:val="nil"/>
              <w:bottom w:val="nil"/>
              <w:right w:val="single" w:color="000000" w:sz="8" w:space="0"/>
            </w:tcBorders>
            <w:shd w:val="clear" w:color="auto" w:fill="auto"/>
          </w:tcPr>
          <w:p w:rsidRPr="00B87ABE" w:rsidR="00E87F7A" w:rsidP="00A46E98" w:rsidRDefault="00E81DE1" w14:paraId="3100D2DA" w14:textId="18ECFC21">
            <w:r w:rsidRPr="00B87ABE">
              <w:t>Disposals Surveyor</w:t>
            </w:r>
          </w:p>
        </w:tc>
      </w:tr>
      <w:tr w:rsidRPr="00B87ABE" w:rsidR="00DF093E" w:rsidTr="00A46E98" w14:paraId="6DEB5543" w14:textId="77777777">
        <w:trPr>
          <w:cantSplit/>
          <w:trHeight w:val="396"/>
        </w:trPr>
        <w:tc>
          <w:tcPr>
            <w:tcW w:w="3969" w:type="dxa"/>
            <w:tcBorders>
              <w:top w:val="nil"/>
              <w:left w:val="single" w:color="000000" w:sz="8" w:space="0"/>
              <w:bottom w:val="nil"/>
              <w:right w:val="nil"/>
            </w:tcBorders>
            <w:shd w:val="clear" w:color="auto" w:fill="auto"/>
          </w:tcPr>
          <w:p w:rsidRPr="00B87ABE" w:rsidR="00E87F7A" w:rsidP="00A46E98" w:rsidRDefault="00E87F7A" w14:paraId="7BD402AB" w14:textId="77777777">
            <w:r w:rsidRPr="00B87ABE">
              <w:t>Service area or department</w:t>
            </w:r>
          </w:p>
        </w:tc>
        <w:tc>
          <w:tcPr>
            <w:tcW w:w="4962" w:type="dxa"/>
            <w:tcBorders>
              <w:top w:val="nil"/>
              <w:left w:val="nil"/>
              <w:bottom w:val="nil"/>
              <w:right w:val="single" w:color="000000" w:sz="8" w:space="0"/>
            </w:tcBorders>
            <w:shd w:val="clear" w:color="auto" w:fill="auto"/>
          </w:tcPr>
          <w:p w:rsidRPr="00B87ABE" w:rsidR="00E87F7A" w:rsidP="00A46E98" w:rsidRDefault="00E81DE1" w14:paraId="0F7746FF" w14:textId="6E06C1CC">
            <w:r w:rsidRPr="00B87ABE">
              <w:t>Corporate Property</w:t>
            </w:r>
          </w:p>
        </w:tc>
      </w:tr>
      <w:tr w:rsidRPr="00B87ABE" w:rsidR="00DF093E" w:rsidTr="00A46E98" w14:paraId="572FB489" w14:textId="77777777">
        <w:trPr>
          <w:cantSplit/>
          <w:trHeight w:val="396"/>
        </w:trPr>
        <w:tc>
          <w:tcPr>
            <w:tcW w:w="3969" w:type="dxa"/>
            <w:tcBorders>
              <w:top w:val="nil"/>
              <w:left w:val="single" w:color="000000" w:sz="8" w:space="0"/>
              <w:bottom w:val="nil"/>
              <w:right w:val="nil"/>
            </w:tcBorders>
            <w:shd w:val="clear" w:color="auto" w:fill="auto"/>
          </w:tcPr>
          <w:p w:rsidRPr="00B87ABE" w:rsidR="00E87F7A" w:rsidP="00A46E98" w:rsidRDefault="00E87F7A" w14:paraId="7832E71E" w14:textId="77777777">
            <w:r w:rsidRPr="00B87ABE">
              <w:t xml:space="preserve">Telephone </w:t>
            </w:r>
          </w:p>
        </w:tc>
        <w:tc>
          <w:tcPr>
            <w:tcW w:w="4962" w:type="dxa"/>
            <w:tcBorders>
              <w:top w:val="nil"/>
              <w:left w:val="nil"/>
              <w:bottom w:val="nil"/>
              <w:right w:val="single" w:color="000000" w:sz="8" w:space="0"/>
            </w:tcBorders>
            <w:shd w:val="clear" w:color="auto" w:fill="auto"/>
          </w:tcPr>
          <w:p w:rsidRPr="00B87ABE" w:rsidR="00E87F7A" w:rsidP="00A46E98" w:rsidRDefault="00E81DE1" w14:paraId="53D96CCC" w14:textId="0BAAC1E8">
            <w:r w:rsidRPr="00B87ABE">
              <w:t>07483 011293</w:t>
            </w:r>
            <w:r w:rsidRPr="00B87ABE" w:rsidR="00E87F7A">
              <w:t xml:space="preserve">  </w:t>
            </w:r>
          </w:p>
        </w:tc>
      </w:tr>
      <w:tr w:rsidRPr="00B87ABE" w:rsidR="005570B5" w:rsidTr="00A46E98" w14:paraId="40AEFD69" w14:textId="77777777">
        <w:trPr>
          <w:cantSplit/>
          <w:trHeight w:val="396"/>
        </w:trPr>
        <w:tc>
          <w:tcPr>
            <w:tcW w:w="3969" w:type="dxa"/>
            <w:tcBorders>
              <w:top w:val="nil"/>
              <w:left w:val="single" w:color="000000" w:sz="8" w:space="0"/>
              <w:bottom w:val="single" w:color="000000" w:sz="8" w:space="0"/>
              <w:right w:val="nil"/>
            </w:tcBorders>
            <w:shd w:val="clear" w:color="auto" w:fill="auto"/>
          </w:tcPr>
          <w:p w:rsidRPr="00B87ABE" w:rsidR="00E87F7A" w:rsidP="00A46E98" w:rsidRDefault="00E87F7A" w14:paraId="5C2DD139" w14:textId="77777777">
            <w:r w:rsidRPr="00B87ABE">
              <w:t xml:space="preserve">e-mail </w:t>
            </w:r>
          </w:p>
        </w:tc>
        <w:tc>
          <w:tcPr>
            <w:tcW w:w="4962" w:type="dxa"/>
            <w:tcBorders>
              <w:top w:val="nil"/>
              <w:left w:val="nil"/>
              <w:bottom w:val="single" w:color="000000" w:sz="8" w:space="0"/>
              <w:right w:val="single" w:color="000000" w:sz="8" w:space="0"/>
            </w:tcBorders>
            <w:shd w:val="clear" w:color="auto" w:fill="auto"/>
          </w:tcPr>
          <w:p w:rsidRPr="00B87ABE" w:rsidR="00E87F7A" w:rsidP="00A46E98" w:rsidRDefault="00E81DE1" w14:paraId="64C04F4C" w14:textId="722B538A">
            <w:pPr>
              <w:rPr>
                <w:rStyle w:val="Hyperlink"/>
                <w:color w:val="000000"/>
              </w:rPr>
            </w:pPr>
            <w:r w:rsidRPr="00B87ABE">
              <w:rPr>
                <w:rStyle w:val="Hyperlink"/>
                <w:color w:val="000000"/>
              </w:rPr>
              <w:t>bwilberforce@oxford.gov.uk</w:t>
            </w:r>
          </w:p>
        </w:tc>
      </w:tr>
    </w:tbl>
    <w:p w:rsidRPr="00B87ABE" w:rsidR="00433B96" w:rsidP="004A6D2F" w:rsidRDefault="00433B96" w14:paraId="143C8714" w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931"/>
      </w:tblGrid>
      <w:tr w:rsidRPr="00B87ABE" w:rsidR="00DF093E" w:rsidTr="62B73EE3" w14:paraId="12CCF8EE" w14:textId="77777777">
        <w:tc>
          <w:tcPr>
            <w:tcW w:w="8931" w:type="dxa"/>
            <w:tcBorders>
              <w:top w:val="single" w:color="auto" w:sz="4" w:space="0"/>
              <w:left w:val="single" w:color="auto" w:sz="4" w:space="0"/>
              <w:bottom w:val="single" w:color="000000" w:themeColor="text1" w:sz="8" w:space="0"/>
              <w:right w:val="single" w:color="auto" w:sz="4" w:space="0"/>
            </w:tcBorders>
            <w:shd w:val="clear" w:color="auto" w:fill="auto"/>
          </w:tcPr>
          <w:p w:rsidRPr="00B87ABE" w:rsidR="0093067A" w:rsidP="00F41AC1" w:rsidRDefault="282C914F" w14:paraId="61B16C51" w14:textId="5AC25437">
            <w:r w:rsidRPr="00B87ABE">
              <w:rPr>
                <w:rStyle w:val="Firstpagetablebold"/>
              </w:rPr>
              <w:lastRenderedPageBreak/>
              <w:t xml:space="preserve">Background Papers: </w:t>
            </w:r>
            <w:r w:rsidRPr="00B87ABE" w:rsidR="00E81DE1">
              <w:rPr>
                <w:rStyle w:val="Firstpagetablebold"/>
              </w:rPr>
              <w:t>None</w:t>
            </w:r>
          </w:p>
          <w:p w:rsidRPr="00B87ABE" w:rsidR="0093067A" w:rsidP="00BD6181" w:rsidRDefault="0093067A" w14:paraId="7116CD40" w14:textId="59EF4172">
            <w:pPr>
              <w:spacing w:line="259" w:lineRule="auto"/>
              <w:rPr>
                <w:rFonts w:eastAsia="Arial" w:cs="Arial"/>
                <w:color w:val="BFBFBF" w:themeColor="background1" w:themeShade="BF"/>
              </w:rPr>
            </w:pPr>
          </w:p>
        </w:tc>
      </w:tr>
    </w:tbl>
    <w:p w:rsidRPr="00B87ABE" w:rsidR="00CE4C87" w:rsidP="0093067A" w:rsidRDefault="00CE4C87" w14:paraId="6E09069D" w14:textId="77777777"/>
    <w:p w:rsidRPr="009E51FC" w:rsidR="004456DD" w:rsidP="0093067A" w:rsidRDefault="004456DD" w14:paraId="1FE671BD" w14:textId="77777777"/>
    <w:sectPr w:rsidRPr="009E51FC" w:rsidR="004456DD" w:rsidSect="002B6836">
      <w:footerReference w:type="even" r:id="rId12"/>
      <w:headerReference w:type="first" r:id="rId13"/>
      <w:pgSz w:w="11906" w:h="16838" w:orient="portrait" w:code="9"/>
      <w:pgMar w:top="1418" w:right="1304" w:bottom="1304"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934A8" w:rsidP="004A6D2F" w:rsidRDefault="007934A8" w14:paraId="38551EB3" w14:textId="77777777">
      <w:r>
        <w:separator/>
      </w:r>
    </w:p>
  </w:endnote>
  <w:endnote w:type="continuationSeparator" w:id="0">
    <w:p w:rsidR="007934A8" w:rsidP="004A6D2F" w:rsidRDefault="007934A8" w14:paraId="4E42B58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4FAD" w:rsidP="004A6D2F" w:rsidRDefault="00364FAD" w14:paraId="098A7B8B" w14:textId="77777777">
    <w:pPr>
      <w:pStyle w:val="Footer"/>
    </w:pPr>
    <w:r>
      <w:t>Do not use a footer or page numbers.</w:t>
    </w:r>
  </w:p>
  <w:p w:rsidR="00364FAD" w:rsidP="004A6D2F" w:rsidRDefault="00364FAD" w14:paraId="20B2461C" w14:textId="77777777">
    <w:pPr>
      <w:pStyle w:val="Footer"/>
    </w:pPr>
  </w:p>
  <w:p w:rsidR="00364FAD" w:rsidP="004A6D2F" w:rsidRDefault="00364FAD" w14:paraId="7238660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934A8" w:rsidP="004A6D2F" w:rsidRDefault="007934A8" w14:paraId="57816F83" w14:textId="77777777">
      <w:r>
        <w:separator/>
      </w:r>
    </w:p>
  </w:footnote>
  <w:footnote w:type="continuationSeparator" w:id="0">
    <w:p w:rsidR="007934A8" w:rsidP="004A6D2F" w:rsidRDefault="007934A8" w14:paraId="5D5A5CA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5547E" w:rsidP="00D5547E" w:rsidRDefault="00C05260" w14:paraId="4A0D1F7F" w14:textId="77777777">
    <w:pPr>
      <w:pStyle w:val="Header"/>
      <w:jc w:val="right"/>
    </w:pPr>
    <w:r>
      <w:rPr>
        <w:noProof/>
      </w:rPr>
      <w:drawing>
        <wp:inline distT="0" distB="0" distL="0" distR="0" wp14:anchorId="35341002" wp14:editId="2956E09D">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DE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70EF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B46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A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347642"/>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4F06035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BAC25304"/>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4CAEA8C"/>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D48815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E43140"/>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38C30BB"/>
    <w:multiLevelType w:val="multilevel"/>
    <w:tmpl w:val="E67CE66C"/>
    <w:styleLink w:val="StyleNumberedLeft0cmHanging075cm"/>
    <w:lvl w:ilvl="0">
      <w:start w:val="1"/>
      <w:numFmt w:val="decimal"/>
      <w:pStyle w:val="ListParagraph"/>
      <w:lvlText w:val="%1."/>
      <w:lvlJc w:val="left"/>
      <w:pPr>
        <w:ind w:left="360" w:hanging="360"/>
      </w:pPr>
      <w:rPr>
        <w:rFonts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49C05EF"/>
    <w:multiLevelType w:val="multilevel"/>
    <w:tmpl w:val="43D6D2FA"/>
    <w:numStyleLink w:val="StyleBulletedSymbolsymbolLeft063cmHanging063cm"/>
  </w:abstractNum>
  <w:abstractNum w:abstractNumId="13" w15:restartNumberingAfterBreak="0">
    <w:nsid w:val="092922A7"/>
    <w:multiLevelType w:val="hybridMultilevel"/>
    <w:tmpl w:val="2B26D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A731236"/>
    <w:multiLevelType w:val="multilevel"/>
    <w:tmpl w:val="1700ACF6"/>
    <w:lvl w:ilvl="0">
      <w:start w:val="1"/>
      <w:numFmt w:val="decimal"/>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EFE3CBC"/>
    <w:multiLevelType w:val="hybridMultilevel"/>
    <w:tmpl w:val="8BD02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980FC5"/>
    <w:multiLevelType w:val="hybridMultilevel"/>
    <w:tmpl w:val="5B36B17E"/>
    <w:lvl w:ilvl="0" w:tplc="AFA25F0A">
      <w:start w:val="1"/>
      <w:numFmt w:val="bullet"/>
      <w:pStyle w:val="Bulletpoints"/>
      <w:lvlText w:val=""/>
      <w:lvlJc w:val="left"/>
      <w:pPr>
        <w:ind w:left="1080" w:hanging="360"/>
      </w:pPr>
      <w:rPr>
        <w:rFonts w:hint="default" w:ascii="Symbol" w:hAnsi="Symbo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2263A6A"/>
    <w:multiLevelType w:val="multilevel"/>
    <w:tmpl w:val="43D6D2FA"/>
    <w:numStyleLink w:val="StyleBulletedSymbolsymbolLeft063cmHanging063cm"/>
  </w:abstractNum>
  <w:abstractNum w:abstractNumId="18" w15:restartNumberingAfterBreak="0">
    <w:nsid w:val="2C0A3AC3"/>
    <w:multiLevelType w:val="hybridMultilevel"/>
    <w:tmpl w:val="2B326A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E3586B"/>
    <w:multiLevelType w:val="hybridMultilevel"/>
    <w:tmpl w:val="88CA416C"/>
    <w:lvl w:ilvl="0" w:tplc="0DDAB9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B0B4923"/>
    <w:multiLevelType w:val="hybridMultilevel"/>
    <w:tmpl w:val="2D883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343E22"/>
    <w:multiLevelType w:val="hybridMultilevel"/>
    <w:tmpl w:val="3E3ABABA"/>
    <w:lvl w:ilvl="0" w:tplc="081A0C3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2027960"/>
    <w:multiLevelType w:val="hybridMultilevel"/>
    <w:tmpl w:val="501CC3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37F1004"/>
    <w:multiLevelType w:val="hybridMultilevel"/>
    <w:tmpl w:val="4E022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12530E"/>
    <w:multiLevelType w:val="hybridMultilevel"/>
    <w:tmpl w:val="CEECF3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6764EAF"/>
    <w:multiLevelType w:val="hybridMultilevel"/>
    <w:tmpl w:val="AB625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8F2C59"/>
    <w:multiLevelType w:val="hybridMultilevel"/>
    <w:tmpl w:val="396C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C4008E"/>
    <w:multiLevelType w:val="hybridMultilevel"/>
    <w:tmpl w:val="D03048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565907"/>
    <w:multiLevelType w:val="hybridMultilevel"/>
    <w:tmpl w:val="55949A3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5ABA5FD8"/>
    <w:multiLevelType w:val="multilevel"/>
    <w:tmpl w:val="43D6D2FA"/>
    <w:numStyleLink w:val="StyleBulletedSymbolsymbolLeft063cmHanging063cm"/>
  </w:abstractNum>
  <w:abstractNum w:abstractNumId="30" w15:restartNumberingAfterBreak="0">
    <w:nsid w:val="5C7E19E2"/>
    <w:multiLevelType w:val="hybridMultilevel"/>
    <w:tmpl w:val="3146A6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2A22831"/>
    <w:multiLevelType w:val="multilevel"/>
    <w:tmpl w:val="43D6D2FA"/>
    <w:numStyleLink w:val="StyleBulletedSymbolsymbolLeft063cmHanging063cm"/>
  </w:abstractNum>
  <w:abstractNum w:abstractNumId="32"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B1550E4"/>
    <w:multiLevelType w:val="hybridMultilevel"/>
    <w:tmpl w:val="DD86F5EA"/>
    <w:lvl w:ilvl="0" w:tplc="08090001">
      <w:start w:val="1"/>
      <w:numFmt w:val="bullet"/>
      <w:lvlText w:val=""/>
      <w:lvlJc w:val="left"/>
      <w:pPr>
        <w:ind w:left="1080" w:hanging="72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C6539BA"/>
    <w:multiLevelType w:val="hybridMultilevel"/>
    <w:tmpl w:val="C1CC39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FD16223"/>
    <w:multiLevelType w:val="hybridMultilevel"/>
    <w:tmpl w:val="E67CE6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98365C6"/>
    <w:multiLevelType w:val="multilevel"/>
    <w:tmpl w:val="E67CE66C"/>
    <w:numStyleLink w:val="StyleNumberedLeft0cmHanging075cm"/>
  </w:abstractNum>
  <w:num w:numId="1" w16cid:durableId="2036299310">
    <w:abstractNumId w:val="28"/>
  </w:num>
  <w:num w:numId="2" w16cid:durableId="643705505">
    <w:abstractNumId w:val="33"/>
  </w:num>
  <w:num w:numId="3" w16cid:durableId="1284848424">
    <w:abstractNumId w:val="24"/>
  </w:num>
  <w:num w:numId="4" w16cid:durableId="578908713">
    <w:abstractNumId w:val="18"/>
  </w:num>
  <w:num w:numId="5" w16cid:durableId="54470100">
    <w:abstractNumId w:val="30"/>
  </w:num>
  <w:num w:numId="6" w16cid:durableId="694158268">
    <w:abstractNumId w:val="35"/>
  </w:num>
  <w:num w:numId="7" w16cid:durableId="647516062">
    <w:abstractNumId w:val="23"/>
  </w:num>
  <w:num w:numId="8" w16cid:durableId="1160539719">
    <w:abstractNumId w:val="20"/>
  </w:num>
  <w:num w:numId="9" w16cid:durableId="1862670074">
    <w:abstractNumId w:val="13"/>
  </w:num>
  <w:num w:numId="10" w16cid:durableId="948585193">
    <w:abstractNumId w:val="15"/>
  </w:num>
  <w:num w:numId="11" w16cid:durableId="718482766">
    <w:abstractNumId w:val="26"/>
  </w:num>
  <w:num w:numId="12" w16cid:durableId="164051272">
    <w:abstractNumId w:val="25"/>
  </w:num>
  <w:num w:numId="13" w16cid:durableId="1450854030">
    <w:abstractNumId w:val="10"/>
  </w:num>
  <w:num w:numId="14" w16cid:durableId="373359476">
    <w:abstractNumId w:val="36"/>
  </w:num>
  <w:num w:numId="15" w16cid:durableId="1009412161">
    <w:abstractNumId w:val="16"/>
  </w:num>
  <w:num w:numId="16" w16cid:durableId="2041280933">
    <w:abstractNumId w:val="11"/>
  </w:num>
  <w:num w:numId="17" w16cid:durableId="471220593">
    <w:abstractNumId w:val="29"/>
  </w:num>
  <w:num w:numId="18" w16cid:durableId="1031035851">
    <w:abstractNumId w:val="12"/>
  </w:num>
  <w:num w:numId="19" w16cid:durableId="1402945545">
    <w:abstractNumId w:val="31"/>
  </w:num>
  <w:num w:numId="20" w16cid:durableId="1667248783">
    <w:abstractNumId w:val="17"/>
  </w:num>
  <w:num w:numId="21" w16cid:durableId="1353453069">
    <w:abstractNumId w:val="21"/>
  </w:num>
  <w:num w:numId="22" w16cid:durableId="592667723">
    <w:abstractNumId w:val="14"/>
  </w:num>
  <w:num w:numId="23" w16cid:durableId="37707020">
    <w:abstractNumId w:val="32"/>
  </w:num>
  <w:num w:numId="24" w16cid:durableId="162087179">
    <w:abstractNumId w:val="9"/>
  </w:num>
  <w:num w:numId="25" w16cid:durableId="1955359617">
    <w:abstractNumId w:val="8"/>
  </w:num>
  <w:num w:numId="26" w16cid:durableId="2025740696">
    <w:abstractNumId w:val="7"/>
  </w:num>
  <w:num w:numId="27" w16cid:durableId="439375354">
    <w:abstractNumId w:val="6"/>
  </w:num>
  <w:num w:numId="28" w16cid:durableId="2034837902">
    <w:abstractNumId w:val="5"/>
  </w:num>
  <w:num w:numId="29" w16cid:durableId="765544091">
    <w:abstractNumId w:val="4"/>
  </w:num>
  <w:num w:numId="30" w16cid:durableId="1249462447">
    <w:abstractNumId w:val="3"/>
  </w:num>
  <w:num w:numId="31" w16cid:durableId="790055611">
    <w:abstractNumId w:val="2"/>
  </w:num>
  <w:num w:numId="32" w16cid:durableId="913585048">
    <w:abstractNumId w:val="1"/>
  </w:num>
  <w:num w:numId="33" w16cid:durableId="1728189480">
    <w:abstractNumId w:val="0"/>
  </w:num>
  <w:num w:numId="34" w16cid:durableId="1370304610">
    <w:abstractNumId w:val="34"/>
  </w:num>
  <w:num w:numId="35" w16cid:durableId="1152941978">
    <w:abstractNumId w:val="19"/>
  </w:num>
  <w:num w:numId="36" w16cid:durableId="2006741231">
    <w:abstractNumId w:val="22"/>
  </w:num>
  <w:num w:numId="37" w16cid:durableId="1020403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08120683">
    <w:abstractNumId w:val="36"/>
  </w:num>
  <w:num w:numId="39" w16cid:durableId="206069644">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edit="trackedChange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117D4"/>
    <w:rsid w:val="00025250"/>
    <w:rsid w:val="000314D7"/>
    <w:rsid w:val="00034054"/>
    <w:rsid w:val="00045F8B"/>
    <w:rsid w:val="00046D2B"/>
    <w:rsid w:val="00056263"/>
    <w:rsid w:val="00064D8A"/>
    <w:rsid w:val="00064F82"/>
    <w:rsid w:val="00066510"/>
    <w:rsid w:val="00077523"/>
    <w:rsid w:val="000A72D2"/>
    <w:rsid w:val="000B1DFC"/>
    <w:rsid w:val="000B228E"/>
    <w:rsid w:val="000C089F"/>
    <w:rsid w:val="000C3928"/>
    <w:rsid w:val="000C5E8E"/>
    <w:rsid w:val="000E54E9"/>
    <w:rsid w:val="000F4751"/>
    <w:rsid w:val="000F6BD2"/>
    <w:rsid w:val="0010524C"/>
    <w:rsid w:val="00111FB1"/>
    <w:rsid w:val="00113418"/>
    <w:rsid w:val="00133C43"/>
    <w:rsid w:val="001356F1"/>
    <w:rsid w:val="00136994"/>
    <w:rsid w:val="0014128E"/>
    <w:rsid w:val="00151888"/>
    <w:rsid w:val="00154095"/>
    <w:rsid w:val="00170A2D"/>
    <w:rsid w:val="001808BC"/>
    <w:rsid w:val="00182B81"/>
    <w:rsid w:val="0018619D"/>
    <w:rsid w:val="001A011E"/>
    <w:rsid w:val="001A066A"/>
    <w:rsid w:val="001A13E6"/>
    <w:rsid w:val="001A5731"/>
    <w:rsid w:val="001A6E6D"/>
    <w:rsid w:val="001B42C3"/>
    <w:rsid w:val="001B5AE1"/>
    <w:rsid w:val="001C5D5E"/>
    <w:rsid w:val="001D678D"/>
    <w:rsid w:val="001E03F8"/>
    <w:rsid w:val="001E1678"/>
    <w:rsid w:val="001E3376"/>
    <w:rsid w:val="002069B3"/>
    <w:rsid w:val="00217ECF"/>
    <w:rsid w:val="002312EA"/>
    <w:rsid w:val="002329CF"/>
    <w:rsid w:val="00232F5B"/>
    <w:rsid w:val="002464D7"/>
    <w:rsid w:val="00247C29"/>
    <w:rsid w:val="00260467"/>
    <w:rsid w:val="00263EA3"/>
    <w:rsid w:val="00284F85"/>
    <w:rsid w:val="002870C3"/>
    <w:rsid w:val="00290915"/>
    <w:rsid w:val="002A22E2"/>
    <w:rsid w:val="002B6836"/>
    <w:rsid w:val="002C64F7"/>
    <w:rsid w:val="002F41F2"/>
    <w:rsid w:val="00301BF3"/>
    <w:rsid w:val="0030208D"/>
    <w:rsid w:val="00323418"/>
    <w:rsid w:val="003357BF"/>
    <w:rsid w:val="003422F8"/>
    <w:rsid w:val="00364FAD"/>
    <w:rsid w:val="0036738F"/>
    <w:rsid w:val="0036759C"/>
    <w:rsid w:val="00367AE5"/>
    <w:rsid w:val="00367D71"/>
    <w:rsid w:val="0038150A"/>
    <w:rsid w:val="003909FD"/>
    <w:rsid w:val="003B4804"/>
    <w:rsid w:val="003B6E75"/>
    <w:rsid w:val="003B7DA1"/>
    <w:rsid w:val="003C5890"/>
    <w:rsid w:val="003D0379"/>
    <w:rsid w:val="003D2574"/>
    <w:rsid w:val="003D4C59"/>
    <w:rsid w:val="003F4267"/>
    <w:rsid w:val="00402CC6"/>
    <w:rsid w:val="00403148"/>
    <w:rsid w:val="00404032"/>
    <w:rsid w:val="0040736F"/>
    <w:rsid w:val="00412C1F"/>
    <w:rsid w:val="00421CB2"/>
    <w:rsid w:val="004268B9"/>
    <w:rsid w:val="00433B96"/>
    <w:rsid w:val="004440F1"/>
    <w:rsid w:val="004456DD"/>
    <w:rsid w:val="00446CDF"/>
    <w:rsid w:val="004521B7"/>
    <w:rsid w:val="004548E0"/>
    <w:rsid w:val="00462AB5"/>
    <w:rsid w:val="00462D22"/>
    <w:rsid w:val="00465EAF"/>
    <w:rsid w:val="004738C5"/>
    <w:rsid w:val="0047737B"/>
    <w:rsid w:val="00491046"/>
    <w:rsid w:val="00496078"/>
    <w:rsid w:val="004A2AC7"/>
    <w:rsid w:val="004A6D2F"/>
    <w:rsid w:val="004B11AE"/>
    <w:rsid w:val="004C2887"/>
    <w:rsid w:val="004D2626"/>
    <w:rsid w:val="004D6E26"/>
    <w:rsid w:val="004D77D3"/>
    <w:rsid w:val="004E2959"/>
    <w:rsid w:val="004F20EF"/>
    <w:rsid w:val="0050321C"/>
    <w:rsid w:val="00507ECC"/>
    <w:rsid w:val="00510F17"/>
    <w:rsid w:val="00521044"/>
    <w:rsid w:val="00524B5A"/>
    <w:rsid w:val="0054712D"/>
    <w:rsid w:val="00547EF6"/>
    <w:rsid w:val="005570B5"/>
    <w:rsid w:val="00567E18"/>
    <w:rsid w:val="00575F5F"/>
    <w:rsid w:val="00581805"/>
    <w:rsid w:val="00585F76"/>
    <w:rsid w:val="005A34E4"/>
    <w:rsid w:val="005A6610"/>
    <w:rsid w:val="005B17F2"/>
    <w:rsid w:val="005B7558"/>
    <w:rsid w:val="005B7FB0"/>
    <w:rsid w:val="005C35A5"/>
    <w:rsid w:val="005C577C"/>
    <w:rsid w:val="005D0621"/>
    <w:rsid w:val="005D1E27"/>
    <w:rsid w:val="005D2A3E"/>
    <w:rsid w:val="005E022E"/>
    <w:rsid w:val="005E5215"/>
    <w:rsid w:val="005F7F7E"/>
    <w:rsid w:val="00614693"/>
    <w:rsid w:val="00623C2F"/>
    <w:rsid w:val="00633578"/>
    <w:rsid w:val="00637068"/>
    <w:rsid w:val="006419CA"/>
    <w:rsid w:val="00650811"/>
    <w:rsid w:val="00655339"/>
    <w:rsid w:val="00661D3E"/>
    <w:rsid w:val="00692627"/>
    <w:rsid w:val="006969E7"/>
    <w:rsid w:val="006A3643"/>
    <w:rsid w:val="006B10C2"/>
    <w:rsid w:val="006C2A29"/>
    <w:rsid w:val="006C64CF"/>
    <w:rsid w:val="006D17B1"/>
    <w:rsid w:val="006D4752"/>
    <w:rsid w:val="006D708A"/>
    <w:rsid w:val="006E14C1"/>
    <w:rsid w:val="006F0292"/>
    <w:rsid w:val="006F27FA"/>
    <w:rsid w:val="006F416B"/>
    <w:rsid w:val="006F519B"/>
    <w:rsid w:val="0070291D"/>
    <w:rsid w:val="00713675"/>
    <w:rsid w:val="00715823"/>
    <w:rsid w:val="0072449C"/>
    <w:rsid w:val="007253EF"/>
    <w:rsid w:val="00737B93"/>
    <w:rsid w:val="00745BF0"/>
    <w:rsid w:val="00751EA3"/>
    <w:rsid w:val="007615FE"/>
    <w:rsid w:val="0076655C"/>
    <w:rsid w:val="007742DC"/>
    <w:rsid w:val="00774AA6"/>
    <w:rsid w:val="00791437"/>
    <w:rsid w:val="007934A8"/>
    <w:rsid w:val="007B0C2C"/>
    <w:rsid w:val="007B278E"/>
    <w:rsid w:val="007B5CA2"/>
    <w:rsid w:val="007C5C23"/>
    <w:rsid w:val="007E2A26"/>
    <w:rsid w:val="007F2348"/>
    <w:rsid w:val="007F4757"/>
    <w:rsid w:val="00803F07"/>
    <w:rsid w:val="0080749A"/>
    <w:rsid w:val="008148C0"/>
    <w:rsid w:val="00821FB8"/>
    <w:rsid w:val="00822ACD"/>
    <w:rsid w:val="00855C66"/>
    <w:rsid w:val="00871EE4"/>
    <w:rsid w:val="008954DF"/>
    <w:rsid w:val="008B293F"/>
    <w:rsid w:val="008B30BD"/>
    <w:rsid w:val="008B7371"/>
    <w:rsid w:val="008C7D84"/>
    <w:rsid w:val="008D3DDB"/>
    <w:rsid w:val="008F3B04"/>
    <w:rsid w:val="008F573F"/>
    <w:rsid w:val="009034EC"/>
    <w:rsid w:val="0093067A"/>
    <w:rsid w:val="00941C60"/>
    <w:rsid w:val="00941FD1"/>
    <w:rsid w:val="00950824"/>
    <w:rsid w:val="00965A26"/>
    <w:rsid w:val="00966D42"/>
    <w:rsid w:val="00971689"/>
    <w:rsid w:val="0097170F"/>
    <w:rsid w:val="00973E90"/>
    <w:rsid w:val="00975B07"/>
    <w:rsid w:val="00980B4A"/>
    <w:rsid w:val="009B3E8A"/>
    <w:rsid w:val="009E30E2"/>
    <w:rsid w:val="009E3D0A"/>
    <w:rsid w:val="009E51FC"/>
    <w:rsid w:val="009F1D28"/>
    <w:rsid w:val="009F7618"/>
    <w:rsid w:val="00A04D23"/>
    <w:rsid w:val="00A06766"/>
    <w:rsid w:val="00A13765"/>
    <w:rsid w:val="00A21B12"/>
    <w:rsid w:val="00A22386"/>
    <w:rsid w:val="00A23F80"/>
    <w:rsid w:val="00A46E98"/>
    <w:rsid w:val="00A6352B"/>
    <w:rsid w:val="00A701B5"/>
    <w:rsid w:val="00A714BB"/>
    <w:rsid w:val="00A7250D"/>
    <w:rsid w:val="00A77147"/>
    <w:rsid w:val="00A861F6"/>
    <w:rsid w:val="00A92D8F"/>
    <w:rsid w:val="00AA718A"/>
    <w:rsid w:val="00AB2988"/>
    <w:rsid w:val="00AB7999"/>
    <w:rsid w:val="00AC55CF"/>
    <w:rsid w:val="00AD3292"/>
    <w:rsid w:val="00AE1684"/>
    <w:rsid w:val="00AE64DF"/>
    <w:rsid w:val="00AE7AF0"/>
    <w:rsid w:val="00B500CA"/>
    <w:rsid w:val="00B5553F"/>
    <w:rsid w:val="00B82D04"/>
    <w:rsid w:val="00B86314"/>
    <w:rsid w:val="00B87ABE"/>
    <w:rsid w:val="00BA1C2E"/>
    <w:rsid w:val="00BA37B1"/>
    <w:rsid w:val="00BC200B"/>
    <w:rsid w:val="00BC4288"/>
    <w:rsid w:val="00BC4756"/>
    <w:rsid w:val="00BC69A4"/>
    <w:rsid w:val="00BD2C4D"/>
    <w:rsid w:val="00BD6181"/>
    <w:rsid w:val="00BD6FDE"/>
    <w:rsid w:val="00BE0680"/>
    <w:rsid w:val="00BE305F"/>
    <w:rsid w:val="00BE7BA3"/>
    <w:rsid w:val="00BF5682"/>
    <w:rsid w:val="00BF7B09"/>
    <w:rsid w:val="00C05260"/>
    <w:rsid w:val="00C076B9"/>
    <w:rsid w:val="00C16B47"/>
    <w:rsid w:val="00C20A95"/>
    <w:rsid w:val="00C2692F"/>
    <w:rsid w:val="00C3207C"/>
    <w:rsid w:val="00C400E1"/>
    <w:rsid w:val="00C41187"/>
    <w:rsid w:val="00C63C31"/>
    <w:rsid w:val="00C757A0"/>
    <w:rsid w:val="00C760DE"/>
    <w:rsid w:val="00C82630"/>
    <w:rsid w:val="00C85B4E"/>
    <w:rsid w:val="00C907F7"/>
    <w:rsid w:val="00CA2103"/>
    <w:rsid w:val="00CB21E8"/>
    <w:rsid w:val="00CB6B99"/>
    <w:rsid w:val="00CD65F0"/>
    <w:rsid w:val="00CE4C87"/>
    <w:rsid w:val="00CE544A"/>
    <w:rsid w:val="00CE6666"/>
    <w:rsid w:val="00D11E1C"/>
    <w:rsid w:val="00D160B0"/>
    <w:rsid w:val="00D17F94"/>
    <w:rsid w:val="00D223FC"/>
    <w:rsid w:val="00D26D1E"/>
    <w:rsid w:val="00D474CF"/>
    <w:rsid w:val="00D5547E"/>
    <w:rsid w:val="00D72432"/>
    <w:rsid w:val="00D80449"/>
    <w:rsid w:val="00D860E2"/>
    <w:rsid w:val="00D869A1"/>
    <w:rsid w:val="00DA413F"/>
    <w:rsid w:val="00DA4584"/>
    <w:rsid w:val="00DA614B"/>
    <w:rsid w:val="00DB54C3"/>
    <w:rsid w:val="00DB7AD7"/>
    <w:rsid w:val="00DC3060"/>
    <w:rsid w:val="00DE0FB2"/>
    <w:rsid w:val="00DF093E"/>
    <w:rsid w:val="00DF6AE1"/>
    <w:rsid w:val="00E00679"/>
    <w:rsid w:val="00E01F42"/>
    <w:rsid w:val="00E206D6"/>
    <w:rsid w:val="00E3366E"/>
    <w:rsid w:val="00E52086"/>
    <w:rsid w:val="00E543A6"/>
    <w:rsid w:val="00E60479"/>
    <w:rsid w:val="00E61D73"/>
    <w:rsid w:val="00E73684"/>
    <w:rsid w:val="00E818D6"/>
    <w:rsid w:val="00E81DE1"/>
    <w:rsid w:val="00E87F7A"/>
    <w:rsid w:val="00E94B3E"/>
    <w:rsid w:val="00E96BD7"/>
    <w:rsid w:val="00EA0DB1"/>
    <w:rsid w:val="00EA0EE9"/>
    <w:rsid w:val="00ED52CA"/>
    <w:rsid w:val="00ED5860"/>
    <w:rsid w:val="00EE35C9"/>
    <w:rsid w:val="00EF507B"/>
    <w:rsid w:val="00F05ECA"/>
    <w:rsid w:val="00F26E21"/>
    <w:rsid w:val="00F3566E"/>
    <w:rsid w:val="00F375FB"/>
    <w:rsid w:val="00F41AC1"/>
    <w:rsid w:val="00F4367A"/>
    <w:rsid w:val="00F445B1"/>
    <w:rsid w:val="00F45CD4"/>
    <w:rsid w:val="00F66DCA"/>
    <w:rsid w:val="00F74F53"/>
    <w:rsid w:val="00F7606D"/>
    <w:rsid w:val="00F81670"/>
    <w:rsid w:val="00F82024"/>
    <w:rsid w:val="00F865A3"/>
    <w:rsid w:val="00F95BC9"/>
    <w:rsid w:val="00FA624C"/>
    <w:rsid w:val="00FA6590"/>
    <w:rsid w:val="00FB3B71"/>
    <w:rsid w:val="00FB5901"/>
    <w:rsid w:val="00FD0FAC"/>
    <w:rsid w:val="00FD1DFA"/>
    <w:rsid w:val="00FD4966"/>
    <w:rsid w:val="00FE57DC"/>
    <w:rsid w:val="00FF095A"/>
    <w:rsid w:val="05B94C3D"/>
    <w:rsid w:val="07048B25"/>
    <w:rsid w:val="07D434D5"/>
    <w:rsid w:val="0AEAD29A"/>
    <w:rsid w:val="0B89A7FD"/>
    <w:rsid w:val="0E137018"/>
    <w:rsid w:val="0ECD8498"/>
    <w:rsid w:val="0FB9297F"/>
    <w:rsid w:val="11DE2519"/>
    <w:rsid w:val="150E6135"/>
    <w:rsid w:val="16C788FA"/>
    <w:rsid w:val="187CEEE6"/>
    <w:rsid w:val="18B12936"/>
    <w:rsid w:val="1BC0B843"/>
    <w:rsid w:val="1BDE6ACD"/>
    <w:rsid w:val="1C62DB68"/>
    <w:rsid w:val="1E2AA5CE"/>
    <w:rsid w:val="22F0553C"/>
    <w:rsid w:val="238A6E87"/>
    <w:rsid w:val="24AA93AA"/>
    <w:rsid w:val="25C8DF4C"/>
    <w:rsid w:val="27395084"/>
    <w:rsid w:val="278ACBEA"/>
    <w:rsid w:val="282C914F"/>
    <w:rsid w:val="2875A525"/>
    <w:rsid w:val="29894939"/>
    <w:rsid w:val="2DC2B855"/>
    <w:rsid w:val="3323D874"/>
    <w:rsid w:val="33C8C2FF"/>
    <w:rsid w:val="34C5ADE6"/>
    <w:rsid w:val="34ECE2A5"/>
    <w:rsid w:val="35E68B5F"/>
    <w:rsid w:val="3742E73C"/>
    <w:rsid w:val="38C4BD77"/>
    <w:rsid w:val="3A028991"/>
    <w:rsid w:val="3A1580BC"/>
    <w:rsid w:val="3BB43EC8"/>
    <w:rsid w:val="3C9559B9"/>
    <w:rsid w:val="3D75EE1D"/>
    <w:rsid w:val="4165F553"/>
    <w:rsid w:val="431C3BF6"/>
    <w:rsid w:val="43F42839"/>
    <w:rsid w:val="47265693"/>
    <w:rsid w:val="4DC9FD09"/>
    <w:rsid w:val="4DF06A9C"/>
    <w:rsid w:val="51049B70"/>
    <w:rsid w:val="52141FE7"/>
    <w:rsid w:val="530E7F80"/>
    <w:rsid w:val="53124442"/>
    <w:rsid w:val="54BD7E5A"/>
    <w:rsid w:val="562DCFA1"/>
    <w:rsid w:val="571C62E4"/>
    <w:rsid w:val="58C16BAB"/>
    <w:rsid w:val="5C2301F2"/>
    <w:rsid w:val="5CD2A867"/>
    <w:rsid w:val="5D0EC0A9"/>
    <w:rsid w:val="5D6EE46E"/>
    <w:rsid w:val="5DE62121"/>
    <w:rsid w:val="60B35EF8"/>
    <w:rsid w:val="613D2893"/>
    <w:rsid w:val="62B73EE3"/>
    <w:rsid w:val="636BDC7A"/>
    <w:rsid w:val="6BFBC2A1"/>
    <w:rsid w:val="6ECA3545"/>
    <w:rsid w:val="70F8304B"/>
    <w:rsid w:val="7276546A"/>
    <w:rsid w:val="75E01BB2"/>
    <w:rsid w:val="76D8CABF"/>
    <w:rsid w:val="7F3A4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421A9"/>
  <w15:docId w15:val="{5B2BA3E5-8E0C-4EC8-9220-F637E856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hAnsi="Arial Unicode MS" w:eastAsia="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styleId="StyleBulletedSymbolsymbolLeft063cmHanging063cm" w:customStyle="1">
    <w:name w:val="Style Bulleted Symbol (symbol) Left:  0.63 cm Hanging:  0.63 cm"/>
    <w:basedOn w:val="NoList"/>
    <w:rsid w:val="00E818D6"/>
    <w:pPr>
      <w:numPr>
        <w:numId w:val="16"/>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14"/>
      </w:numPr>
      <w:tabs>
        <w:tab w:val="left" w:pos="426"/>
      </w:tabs>
    </w:pPr>
  </w:style>
  <w:style w:type="character" w:styleId="HeaderChar" w:customStyle="1">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styleId="Tableandfigurecaption" w:customStyle="1">
    <w:name w:val="Table and figure caption"/>
    <w:basedOn w:val="Heading2"/>
    <w:rsid w:val="00692627"/>
    <w:pPr>
      <w:ind w:left="360"/>
    </w:pPr>
    <w:rPr>
      <w:bCs/>
      <w:szCs w:val="20"/>
    </w:rPr>
  </w:style>
  <w:style w:type="numbering" w:styleId="StyleNumberedLeft0cmHanging075cm" w:customStyle="1">
    <w:name w:val="Style Numbered Left:  0 cm Hanging:  0.75 cm"/>
    <w:basedOn w:val="NoList"/>
    <w:rsid w:val="00E818D6"/>
    <w:pPr>
      <w:numPr>
        <w:numId w:val="13"/>
      </w:numPr>
    </w:pPr>
  </w:style>
  <w:style w:type="paragraph" w:styleId="Bulletpoints" w:customStyle="1">
    <w:name w:val="Bullet points"/>
    <w:basedOn w:val="Normal"/>
    <w:link w:val="BulletpointsChar"/>
    <w:qFormat/>
    <w:rsid w:val="005570B5"/>
    <w:pPr>
      <w:numPr>
        <w:numId w:val="15"/>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styleId="BulletpointsChar" w:customStyle="1">
    <w:name w:val="Bullet points Char"/>
    <w:link w:val="Bulletpoints"/>
    <w:rsid w:val="005570B5"/>
    <w:rPr>
      <w:color w:val="000000"/>
      <w:sz w:val="24"/>
      <w:szCs w:val="24"/>
    </w:rPr>
  </w:style>
  <w:style w:type="character" w:styleId="QuoteChar" w:customStyle="1">
    <w:name w:val="Quote Char"/>
    <w:link w:val="Quote"/>
    <w:uiPriority w:val="29"/>
    <w:rsid w:val="004A6D2F"/>
    <w:rPr>
      <w:rFonts w:ascii="Arial" w:hAnsi="Arial"/>
      <w:i/>
      <w:iCs/>
      <w:color w:val="000000"/>
      <w:sz w:val="24"/>
      <w:szCs w:val="24"/>
      <w:lang w:eastAsia="en-US"/>
    </w:rPr>
  </w:style>
  <w:style w:type="character" w:styleId="FooterChar" w:customStyle="1">
    <w:name w:val="Footer Char"/>
    <w:aliases w:val="zzFooter Char"/>
    <w:link w:val="Footer"/>
    <w:uiPriority w:val="99"/>
    <w:rsid w:val="004B11AE"/>
    <w:rPr>
      <w:color w:val="000000"/>
      <w:sz w:val="18"/>
      <w:szCs w:val="24"/>
    </w:rPr>
  </w:style>
  <w:style w:type="character" w:styleId="Firstpagetablebold" w:customStyle="1">
    <w:name w:val="First page table: bold"/>
    <w:qFormat/>
    <w:rsid w:val="005D1E27"/>
    <w:rPr>
      <w:rFonts w:ascii="Arial" w:hAnsi="Arial"/>
      <w:b/>
      <w:sz w:val="24"/>
    </w:rPr>
  </w:style>
  <w:style w:type="paragraph" w:styleId="bParagraphtext" w:customStyle="1">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styleId="ListParagraphChar" w:customStyle="1">
    <w:name w:val="List Paragraph Char"/>
    <w:link w:val="ListParagraph"/>
    <w:uiPriority w:val="34"/>
    <w:rsid w:val="005570B5"/>
    <w:rPr>
      <w:color w:val="000000"/>
      <w:sz w:val="24"/>
      <w:szCs w:val="24"/>
    </w:rPr>
  </w:style>
  <w:style w:type="character" w:styleId="bParagraphtextChar" w:customStyle="1">
    <w:name w:val="bParagraph text Char"/>
    <w:link w:val="bParagraphtext"/>
    <w:rsid w:val="005570B5"/>
    <w:rPr>
      <w:color w:val="000000"/>
      <w:sz w:val="24"/>
      <w:szCs w:val="24"/>
    </w:rPr>
  </w:style>
  <w:style w:type="paragraph" w:styleId="Numberedlist" w:customStyle="1">
    <w:name w:val="Numbered list"/>
    <w:basedOn w:val="Bulletpoints"/>
    <w:link w:val="NumberedlistChar"/>
    <w:qFormat/>
    <w:rsid w:val="004738C5"/>
    <w:pPr>
      <w:numPr>
        <w:numId w:val="23"/>
      </w:numPr>
      <w:ind w:left="993" w:hanging="426"/>
    </w:pPr>
  </w:style>
  <w:style w:type="character" w:styleId="Heading1Char" w:customStyle="1">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styleId="NumberedlistChar" w:customStyle="1">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4">
    <w:name w:val="Table Classic 4"/>
    <w:basedOn w:val="TableNormal"/>
    <w:rsid w:val="00507ECC"/>
    <w:pPr>
      <w:spacing w:after="120"/>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3">
    <w:name w:val="Table Grid 3"/>
    <w:basedOn w:val="TableNormal"/>
    <w:rsid w:val="00507ECC"/>
    <w:pPr>
      <w:spacing w:after="120"/>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LightList-Accent1">
    <w:name w:val="Light List Accent 1"/>
    <w:basedOn w:val="TableNormal"/>
    <w:uiPriority w:val="61"/>
    <w:rsid w:val="00507ECC"/>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character" w:styleId="FollowedHyperlink">
    <w:name w:val="FollowedHyperlink"/>
    <w:basedOn w:val="DefaultParagraphFont"/>
    <w:semiHidden/>
    <w:unhideWhenUsed/>
    <w:rsid w:val="000E54E9"/>
    <w:rPr>
      <w:color w:val="800080" w:themeColor="followedHyperlink"/>
      <w:u w:val="single"/>
    </w:rPr>
  </w:style>
  <w:style w:type="character" w:styleId="UnresolvedMention">
    <w:name w:val="Unresolved Mention"/>
    <w:basedOn w:val="DefaultParagraphFont"/>
    <w:uiPriority w:val="99"/>
    <w:semiHidden/>
    <w:unhideWhenUsed/>
    <w:rsid w:val="00402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38852967">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051347222">
      <w:bodyDiv w:val="1"/>
      <w:marLeft w:val="0"/>
      <w:marRight w:val="0"/>
      <w:marTop w:val="0"/>
      <w:marBottom w:val="0"/>
      <w:divBdr>
        <w:top w:val="none" w:sz="0" w:space="0" w:color="auto"/>
        <w:left w:val="none" w:sz="0" w:space="0" w:color="auto"/>
        <w:bottom w:val="none" w:sz="0" w:space="0" w:color="auto"/>
        <w:right w:val="none" w:sz="0" w:space="0" w:color="auto"/>
      </w:divBdr>
    </w:div>
    <w:div w:id="1206795792">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01960666">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582760510">
      <w:bodyDiv w:val="1"/>
      <w:marLeft w:val="0"/>
      <w:marRight w:val="0"/>
      <w:marTop w:val="0"/>
      <w:marBottom w:val="0"/>
      <w:divBdr>
        <w:top w:val="none" w:sz="0" w:space="0" w:color="auto"/>
        <w:left w:val="none" w:sz="0" w:space="0" w:color="auto"/>
        <w:bottom w:val="none" w:sz="0" w:space="0" w:color="auto"/>
        <w:right w:val="none" w:sz="0" w:space="0" w:color="auto"/>
      </w:divBdr>
    </w:div>
    <w:div w:id="181209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mycouncil.oxford.gov.uk/mgIssueHistoryHome.aspx?IId=39949&amp;PlanId=531&amp;RPID=36039604"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6AB859-1359-4A59-AAB8-A2A5B8A58C45}">
  <ds:schemaRefs>
    <ds:schemaRef ds:uri="http://schemas.openxmlformats.org/officeDocument/2006/bibliography"/>
  </ds:schemaRefs>
</ds:datastoreItem>
</file>

<file path=customXml/itemProps2.xml><?xml version="1.0" encoding="utf-8"?>
<ds:datastoreItem xmlns:ds="http://schemas.openxmlformats.org/officeDocument/2006/customXml" ds:itemID="{D7302B15-B981-4809-B525-C3BA22C5FE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1BCFD2-81E2-4427-86F5-27E3506938E2}">
  <ds:schemaRefs>
    <ds:schemaRef ds:uri="http://schemas.microsoft.com/sharepoint/v3/contenttype/forms"/>
  </ds:schemaRefs>
</ds:datastoreItem>
</file>

<file path=customXml/itemProps4.xml><?xml version="1.0" encoding="utf-8"?>
<ds:datastoreItem xmlns:ds="http://schemas.openxmlformats.org/officeDocument/2006/customXml" ds:itemID="{CC4FCE7D-E85F-4BBE-9334-4601032CE5D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Oxford City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OxCityCouncil Cabinet report</dc:title>
  <dc:creator>jmitchell</dc:creator>
  <keywords>OxCityCouncil Report</keywords>
  <lastModifiedBy>MCCOLLUM Brenda</lastModifiedBy>
  <revision>12</revision>
  <lastPrinted>2015-07-03T13:50:00.0000000Z</lastPrinted>
  <dcterms:created xsi:type="dcterms:W3CDTF">2025-05-08T10:01:00.0000000Z</dcterms:created>
  <dcterms:modified xsi:type="dcterms:W3CDTF">2025-05-27T14:20:32.5895117Z</dcterms:modified>
  <category>Report to Council or Committee</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Order">
    <vt:r8>100</vt:r8>
  </property>
  <property fmtid="{D5CDD505-2E9C-101B-9397-08002B2CF9AE}" pid="4" name="MediaServiceImageTags">
    <vt:lpwstr/>
  </property>
</Properties>
</file>